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outlineLvl w:val="1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140" w:lineRule="atLeas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2018年全国二级建造师执业资格考试</w:t>
      </w:r>
    </w:p>
    <w:p>
      <w:pPr>
        <w:adjustRightInd w:val="0"/>
        <w:snapToGrid w:val="0"/>
        <w:spacing w:line="120" w:lineRule="atLeas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《市政公用工程管理与实务-</w:t>
      </w:r>
      <w:r>
        <w:rPr>
          <w:rFonts w:hint="eastAsia" w:ascii="宋体" w:hAnsi="宋体" w:cs="宋体"/>
          <w:sz w:val="32"/>
          <w:szCs w:val="32"/>
          <w:lang w:eastAsia="zh-CN"/>
        </w:rPr>
        <w:t>模拟二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》</w:t>
      </w:r>
    </w:p>
    <w:p>
      <w:pPr>
        <w:adjustRightInd w:val="0"/>
        <w:snapToGrid w:val="0"/>
        <w:spacing w:line="140" w:lineRule="atLeast"/>
        <w:ind w:firstLine="735" w:firstLineChars="3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考试时间：180分钟                                  满分为120分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81"/>
        <w:gridCol w:w="1880"/>
        <w:gridCol w:w="1843"/>
        <w:gridCol w:w="141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单选题（共20分）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1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多选题（共20分）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案例题（共80分）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14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单项选择题（共20题，每题1分，每题的备选项中，只有1个最符合题意）。</w:t>
      </w:r>
    </w:p>
    <w:p>
      <w:pPr>
        <w:numPr>
          <w:ilvl w:val="0"/>
          <w:numId w:val="2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黑体" w:hAnsi="黑体" w:eastAsia="黑体" w:cs="宋体"/>
          <w:sz w:val="24"/>
        </w:rPr>
        <w:t xml:space="preserve"> 适用于城市广场的道路一般设置为（   ）路面</w:t>
      </w:r>
    </w:p>
    <w:p>
      <w:pPr>
        <w:numPr>
          <w:ilvl w:val="0"/>
          <w:numId w:val="3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水泥混凝土</w:t>
      </w:r>
    </w:p>
    <w:p>
      <w:pPr>
        <w:numPr>
          <w:ilvl w:val="0"/>
          <w:numId w:val="3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沥青贯入式碎石</w:t>
      </w:r>
    </w:p>
    <w:p>
      <w:pPr>
        <w:numPr>
          <w:ilvl w:val="0"/>
          <w:numId w:val="3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沥青表面处治</w:t>
      </w:r>
    </w:p>
    <w:p>
      <w:pPr>
        <w:numPr>
          <w:ilvl w:val="0"/>
          <w:numId w:val="3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沥青贯入式砾石</w:t>
      </w:r>
    </w:p>
    <w:p>
      <w:pPr>
        <w:numPr>
          <w:ilvl w:val="0"/>
          <w:numId w:val="2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 xml:space="preserve"> 下列（  ）可以保证面层和基层的强度稳定性和抗冻胀能力，扩散由基层传来的荷载应力，以减小土基所产生的变形</w:t>
      </w:r>
    </w:p>
    <w:p>
      <w:pPr>
        <w:numPr>
          <w:ilvl w:val="0"/>
          <w:numId w:val="4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基层</w:t>
      </w:r>
    </w:p>
    <w:p>
      <w:pPr>
        <w:numPr>
          <w:ilvl w:val="0"/>
          <w:numId w:val="4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面层</w:t>
      </w:r>
    </w:p>
    <w:p>
      <w:pPr>
        <w:numPr>
          <w:ilvl w:val="0"/>
          <w:numId w:val="4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垫层</w:t>
      </w:r>
    </w:p>
    <w:p>
      <w:pPr>
        <w:numPr>
          <w:ilvl w:val="0"/>
          <w:numId w:val="4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路基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3.</w:t>
      </w:r>
      <w:r>
        <w:rPr>
          <w:rFonts w:hint="eastAsia" w:ascii="黑体" w:hAnsi="黑体" w:eastAsia="黑体"/>
          <w:sz w:val="24"/>
        </w:rPr>
        <w:t xml:space="preserve"> 按照级配原则构成的沥青混合料，其中密实一悬浮结构所具有的特性为（   ）</w:t>
      </w:r>
    </w:p>
    <w:p>
      <w:pPr>
        <w:numPr>
          <w:ilvl w:val="0"/>
          <w:numId w:val="5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黏聚力f大，内摩擦角φ小</w:t>
      </w:r>
    </w:p>
    <w:p>
      <w:pPr>
        <w:numPr>
          <w:ilvl w:val="0"/>
          <w:numId w:val="5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黏聚力f大，内摩擦角φ大</w:t>
      </w:r>
    </w:p>
    <w:p>
      <w:pPr>
        <w:numPr>
          <w:ilvl w:val="0"/>
          <w:numId w:val="5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黏聚力f小，内摩擦角φ小</w:t>
      </w:r>
    </w:p>
    <w:p>
      <w:pPr>
        <w:numPr>
          <w:ilvl w:val="0"/>
          <w:numId w:val="5"/>
        </w:numPr>
        <w:adjustRightInd w:val="0"/>
        <w:snapToGrid w:val="0"/>
        <w:spacing w:line="140" w:lineRule="atLeas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黏聚力f小，内摩擦角φ大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宋体"/>
          <w:sz w:val="24"/>
        </w:rPr>
        <w:t>4.</w:t>
      </w:r>
      <w:r>
        <w:rPr>
          <w:rFonts w:hint="eastAsia" w:ascii="黑体" w:hAnsi="黑体" w:eastAsia="黑体" w:cs="方正仿宋_GBK"/>
          <w:sz w:val="24"/>
        </w:rPr>
        <w:t xml:space="preserve"> 主干路的抗弯拉强度一般不得低于（   ）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A. 4.5Mpa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B. 5 Mpa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C  2.5 Mpa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D  0.5 Mpa</w:t>
      </w:r>
    </w:p>
    <w:p>
      <w:pPr>
        <w:adjustRightInd w:val="0"/>
        <w:snapToGrid w:val="0"/>
        <w:spacing w:line="140" w:lineRule="atLeast"/>
        <w:ind w:left="360"/>
        <w:rPr>
          <w:rFonts w:hint="eastAsia" w:ascii="黑体" w:hAnsi="黑体" w:eastAsia="黑体" w:cs="宋体"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宋体" w:hAnsi="宋体" w:cs="宋体"/>
          <w:sz w:val="24"/>
        </w:rPr>
        <w:t>5.</w:t>
      </w:r>
      <w:r>
        <w:rPr>
          <w:rFonts w:hint="eastAsia" w:ascii="黑体" w:hAnsi="黑体" w:eastAsia="黑体" w:cs="方正仿宋_GBK"/>
          <w:sz w:val="24"/>
        </w:rPr>
        <w:t xml:space="preserve"> 下列关于水泥混凝土路面施工，不需要设置胀缝的是（  ）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A. 邻近桥梁与其他道路相交处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B. 板厚改变处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C. 小半径平曲线等处</w:t>
      </w:r>
    </w:p>
    <w:p>
      <w:pPr>
        <w:adjustRightInd w:val="0"/>
        <w:snapToGrid w:val="0"/>
        <w:spacing w:line="140" w:lineRule="atLeas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D. 施工时，中途休息阶段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方正仿宋_GBK"/>
          <w:sz w:val="24"/>
        </w:rPr>
      </w:pPr>
      <w:r>
        <w:rPr>
          <w:rFonts w:hint="eastAsia" w:ascii="宋体" w:hAnsi="宋体" w:cs="宋体"/>
          <w:sz w:val="24"/>
        </w:rPr>
        <w:t>6.</w:t>
      </w:r>
      <w:r>
        <w:rPr>
          <w:rFonts w:hint="eastAsia" w:ascii="黑体" w:hAnsi="黑体" w:eastAsia="黑体" w:cs="方正仿宋_GBK"/>
          <w:sz w:val="24"/>
        </w:rPr>
        <w:t xml:space="preserve"> 级配碎石基层在摊铺过程中发生梅花现象时，应采取（    ）措施解决。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A. 洒水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B. 翻拌均匀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C. 晾晒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方正仿宋_GBK"/>
          <w:sz w:val="24"/>
        </w:rPr>
      </w:pPr>
      <w:r>
        <w:rPr>
          <w:rFonts w:hint="eastAsia" w:ascii="黑体" w:hAnsi="黑体" w:eastAsia="黑体" w:cs="方正仿宋_GBK"/>
          <w:sz w:val="24"/>
        </w:rPr>
        <w:t>D. 添加碎石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宋体" w:hAnsi="宋体" w:cs="宋体"/>
          <w:sz w:val="24"/>
        </w:rPr>
        <w:t>7.</w:t>
      </w:r>
      <w:r>
        <w:rPr>
          <w:rFonts w:hint="eastAsia" w:ascii="黑体" w:hAnsi="黑体" w:eastAsia="黑体"/>
          <w:sz w:val="24"/>
        </w:rPr>
        <w:t xml:space="preserve"> 在桥跨结构与桥墩或桥台的位置所设置的传力装置。它不仅要传递很大的荷载，并且还要保证桥跨结构能产生一定的变位的是（   ）。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伸缩缝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B．支座</w:t>
      </w:r>
    </w:p>
    <w:p>
      <w:pPr>
        <w:pStyle w:val="9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C．</w:t>
      </w:r>
      <w:r>
        <w:rPr>
          <w:rFonts w:hint="eastAsia" w:ascii="黑体" w:hAnsi="黑体" w:eastAsia="黑体" w:cs="宋体"/>
          <w:sz w:val="24"/>
        </w:rPr>
        <w:t>桥墩</w:t>
      </w:r>
    </w:p>
    <w:p>
      <w:pPr>
        <w:pStyle w:val="9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宋体"/>
          <w:sz w:val="24"/>
        </w:rPr>
        <w:t>D．</w:t>
      </w:r>
      <w:r>
        <w:rPr>
          <w:rFonts w:hint="eastAsia" w:ascii="黑体" w:hAnsi="黑体" w:eastAsia="黑体"/>
          <w:sz w:val="24"/>
        </w:rPr>
        <w:t>灯光照明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宋体" w:hAnsi="宋体" w:cs="宋体"/>
          <w:sz w:val="24"/>
        </w:rPr>
        <w:t>8.</w:t>
      </w:r>
      <w:r>
        <w:rPr>
          <w:rFonts w:hint="eastAsia" w:ascii="黑体" w:hAnsi="黑体" w:eastAsia="黑体" w:cs="宋体"/>
          <w:sz w:val="24"/>
        </w:rPr>
        <w:t xml:space="preserve"> 高压喷射注浆的主要施工工艺流程，正确的是（   ）</w:t>
      </w:r>
    </w:p>
    <w:p>
      <w:pPr>
        <w:numPr>
          <w:ilvl w:val="0"/>
          <w:numId w:val="6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钻机就位→置人注浆管→钻孔→高压喷射注浆→拔出注浆管</w:t>
      </w:r>
    </w:p>
    <w:p>
      <w:pPr>
        <w:numPr>
          <w:ilvl w:val="0"/>
          <w:numId w:val="6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钻机就位→钻孔→置人注浆管→高压喷射注浆→拔出注浆管</w:t>
      </w:r>
    </w:p>
    <w:p>
      <w:pPr>
        <w:numPr>
          <w:ilvl w:val="0"/>
          <w:numId w:val="6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钻机就位→钻孔→高压喷射注浆→置人注浆管→拔出注浆管</w:t>
      </w:r>
    </w:p>
    <w:p>
      <w:pPr>
        <w:numPr>
          <w:ilvl w:val="0"/>
          <w:numId w:val="6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钻孔→钻机就位→置人注浆管→高压喷射注浆→拔出注浆管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9.</w:t>
      </w:r>
      <w:r>
        <w:rPr>
          <w:rFonts w:hint="eastAsia" w:ascii="黑体" w:hAnsi="黑体" w:eastAsia="黑体"/>
          <w:sz w:val="24"/>
        </w:rPr>
        <w:t xml:space="preserve"> 正式运行前应进行联网试运行抽水试验，下列说法错误的是（  ）</w:t>
      </w:r>
    </w:p>
    <w:p>
      <w:pPr>
        <w:numPr>
          <w:ilvl w:val="0"/>
          <w:numId w:val="7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应开启全部降水井，并应进行水位、水量等监测记录</w:t>
      </w:r>
    </w:p>
    <w:p>
      <w:pPr>
        <w:numPr>
          <w:ilvl w:val="0"/>
          <w:numId w:val="7"/>
        </w:numPr>
        <w:spacing w:line="32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当降水深度大于设计要求的深度时，可分批开启全部备用井</w:t>
      </w:r>
    </w:p>
    <w:p>
      <w:pPr>
        <w:numPr>
          <w:ilvl w:val="0"/>
          <w:numId w:val="7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当基坑内观察井的稳定水位</w:t>
      </w:r>
      <w:r>
        <w:rPr>
          <w:rFonts w:ascii="黑体" w:hAnsi="黑体" w:eastAsia="黑体"/>
          <w:sz w:val="24"/>
        </w:rPr>
        <w:t>24</w:t>
      </w:r>
      <w:r>
        <w:rPr>
          <w:rFonts w:hint="eastAsia" w:ascii="黑体" w:hAnsi="黑体" w:eastAsia="黑体"/>
          <w:sz w:val="24"/>
        </w:rPr>
        <w:t>h波动幅度小于</w:t>
      </w:r>
      <w:r>
        <w:rPr>
          <w:rFonts w:ascii="黑体" w:hAnsi="黑体" w:eastAsia="黑体"/>
          <w:sz w:val="24"/>
        </w:rPr>
        <w:t>20mm</w:t>
      </w:r>
      <w:r>
        <w:rPr>
          <w:rFonts w:hint="eastAsia" w:ascii="黑体" w:hAnsi="黑体" w:eastAsia="黑体"/>
          <w:sz w:val="24"/>
        </w:rPr>
        <w:t>时，可停止试验</w:t>
      </w:r>
    </w:p>
    <w:p>
      <w:pPr>
        <w:numPr>
          <w:ilvl w:val="0"/>
          <w:numId w:val="7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供电线路和配电箱的布设应满足降水要求，并应配备必要的备用电源、水泵和有关设备及材料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10.</w:t>
      </w:r>
      <w:r>
        <w:rPr>
          <w:rFonts w:hint="eastAsia" w:ascii="黑体" w:hAnsi="黑体" w:eastAsia="黑体" w:cs="宋体"/>
          <w:sz w:val="24"/>
        </w:rPr>
        <w:t xml:space="preserve"> 能够适用于各类岩土层的隔水方法的是（   ）</w:t>
      </w:r>
    </w:p>
    <w:p>
      <w:pPr>
        <w:numPr>
          <w:ilvl w:val="0"/>
          <w:numId w:val="8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沉箱</w:t>
      </w:r>
    </w:p>
    <w:p>
      <w:pPr>
        <w:numPr>
          <w:ilvl w:val="0"/>
          <w:numId w:val="8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注浆法</w:t>
      </w:r>
    </w:p>
    <w:p>
      <w:pPr>
        <w:numPr>
          <w:ilvl w:val="0"/>
          <w:numId w:val="8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水泥土搅拌法</w:t>
      </w:r>
    </w:p>
    <w:p>
      <w:pPr>
        <w:numPr>
          <w:ilvl w:val="0"/>
          <w:numId w:val="8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高压喷射注浆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11.</w:t>
      </w:r>
      <w:r>
        <w:rPr>
          <w:rFonts w:hint="eastAsia" w:ascii="黑体" w:hAnsi="黑体" w:eastAsia="黑体"/>
          <w:sz w:val="24"/>
        </w:rPr>
        <w:t xml:space="preserve"> 下列各种隔水方法中，多用于软土地区的是（   ）</w:t>
      </w:r>
    </w:p>
    <w:p>
      <w:pPr>
        <w:numPr>
          <w:ilvl w:val="0"/>
          <w:numId w:val="9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沉箱</w:t>
      </w:r>
    </w:p>
    <w:p>
      <w:pPr>
        <w:numPr>
          <w:ilvl w:val="0"/>
          <w:numId w:val="9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钢板桩</w:t>
      </w:r>
    </w:p>
    <w:p>
      <w:pPr>
        <w:numPr>
          <w:ilvl w:val="0"/>
          <w:numId w:val="9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地下连续墙</w:t>
      </w:r>
    </w:p>
    <w:p>
      <w:pPr>
        <w:numPr>
          <w:ilvl w:val="0"/>
          <w:numId w:val="9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注浆法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12.</w:t>
      </w:r>
      <w:r>
        <w:rPr>
          <w:rFonts w:ascii="黑体" w:hAnsi="黑体" w:eastAsia="黑体"/>
          <w:sz w:val="24"/>
        </w:rPr>
        <w:t xml:space="preserve"> 暗挖隧道环形开挖</w:t>
      </w:r>
      <w:r>
        <w:rPr>
          <w:rFonts w:hint="eastAsia" w:ascii="黑体" w:hAnsi="黑体" w:eastAsia="黑体"/>
          <w:sz w:val="24"/>
        </w:rPr>
        <w:t>双侧壁导坑法</w:t>
      </w:r>
      <w:r>
        <w:rPr>
          <w:rFonts w:ascii="黑体" w:hAnsi="黑体" w:eastAsia="黑体"/>
          <w:sz w:val="24"/>
        </w:rPr>
        <w:t>施工工艺流程中，紧接在</w:t>
      </w:r>
      <w:r>
        <w:rPr>
          <w:rFonts w:hint="eastAsia" w:ascii="黑体" w:hAnsi="黑体" w:eastAsia="黑体"/>
          <w:sz w:val="24"/>
        </w:rPr>
        <w:t>开挖一侧导坑，并及时地将其初次支护闭合→相隔适当距离后开挖另一侧导坑，并建造初次支护→后工序是 （   ）</w:t>
      </w:r>
    </w:p>
    <w:p>
      <w:pPr>
        <w:numPr>
          <w:ilvl w:val="0"/>
          <w:numId w:val="10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开挖下台阶</w:t>
      </w:r>
    </w:p>
    <w:p>
      <w:pPr>
        <w:numPr>
          <w:ilvl w:val="0"/>
          <w:numId w:val="10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开挖上部核心土</w:t>
      </w:r>
    </w:p>
    <w:p>
      <w:pPr>
        <w:numPr>
          <w:ilvl w:val="0"/>
          <w:numId w:val="10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拆除导坑临空部分的初次支护</w:t>
      </w:r>
    </w:p>
    <w:p>
      <w:pPr>
        <w:numPr>
          <w:ilvl w:val="0"/>
          <w:numId w:val="10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施作内层衬砌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13. 下列污水处理方法中，属于物理处理方法的是（   ）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重力分离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活性污泥法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生物膜法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氧化塘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14.</w:t>
      </w:r>
      <w:r>
        <w:rPr>
          <w:rFonts w:hint="eastAsia" w:ascii="黑体" w:hAnsi="黑体" w:eastAsia="黑体"/>
          <w:sz w:val="24"/>
        </w:rPr>
        <w:t xml:space="preserve"> 下列关于构筑物满水试验的要求，说法错误的是（  ）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现浇钢筋混凝土池体的防水层、防腐层施工之前进行试验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设计预留孔洞、预埋管口及进出水口等已做临时封堵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试验的流程为试验准备→水池注水→水池内水位观测→蒸发量测定→整理试验结论</w:t>
      </w:r>
    </w:p>
    <w:p>
      <w:pPr>
        <w:pStyle w:val="9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D. 水位测针的读数精确度应达0.1mm。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15.</w:t>
      </w:r>
      <w:r>
        <w:rPr>
          <w:rFonts w:hint="eastAsia" w:ascii="黑体" w:hAnsi="黑体" w:eastAsia="黑体"/>
          <w:sz w:val="24"/>
        </w:rPr>
        <w:t xml:space="preserve"> 下列关于给水排水工程中砌筑结构的构筑物的施工要求，错误的是（  ）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砌筑前砌块（砖、石）应充分湿润；砌筑砂浆配合比符合设计要求，现场拌制应拌合均匀、随用随拌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砌筑应采用满铺满挤法。砌体应上下错缝、内外搭砌、丁顺规则有序。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砌体的沉降缝、变形缝、止水缝位置应安装止水带措施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当砌体垂直灰缝宽度大于30mm时，应采用细石混凝土灌实．混凝土强度等级不应小于C15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16.</w:t>
      </w:r>
      <w:r>
        <w:rPr>
          <w:rFonts w:hint="eastAsia" w:ascii="黑体" w:hAnsi="黑体" w:eastAsia="黑体"/>
          <w:sz w:val="24"/>
        </w:rPr>
        <w:t xml:space="preserve"> 下列砌筑要求中，不属于反拱砌筑施工要点的是（）</w:t>
      </w:r>
      <w:r>
        <w:rPr>
          <w:rFonts w:ascii="黑体" w:hAnsi="黑体" w:eastAsia="黑体"/>
          <w:sz w:val="20"/>
        </w:rPr>
        <w:br w:type="textWrapping"/>
      </w:r>
      <w:r>
        <w:rPr>
          <w:rFonts w:hint="eastAsia" w:ascii="黑体" w:hAnsi="黑体" w:eastAsia="黑体"/>
          <w:sz w:val="24"/>
        </w:rPr>
        <w:t>A. 砌筑前，应按设计要求的弧度制作反拱的样板，沿设计轴线每隔lOm设一块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反拱砌筑完成后，应待砂浆强度达到设计抗压强度的75%时，方可踩压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反拱表面应光滑平顺，高程允许偏差应为±lOmm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拱形管渠侧墙砌筑、养护完毕后，安装拱胎前，要在两侧墙外圆填土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17.</w:t>
      </w:r>
      <w:r>
        <w:rPr>
          <w:rFonts w:hint="eastAsia" w:ascii="黑体" w:hAnsi="黑体" w:eastAsia="黑体"/>
          <w:sz w:val="24"/>
        </w:rPr>
        <w:t xml:space="preserve"> 使用爆管工具将旧管破碎，并将其碎片挤到周围的土层，同时将新管或套管拉人，完成管道更换的方法是（   ）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破管外挤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破管顶进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缠绕法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内衬法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18.</w:t>
      </w:r>
      <w:r>
        <w:rPr>
          <w:rFonts w:hint="eastAsia" w:ascii="黑体" w:hAnsi="黑体" w:eastAsia="黑体"/>
          <w:sz w:val="24"/>
        </w:rPr>
        <w:t xml:space="preserve"> 统一施工段的等径直管段宜采用相同厂家、相同规格和性能的预制保温管、管件及保温接头。当无法满足时，应征得（    ）同意。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设计单位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建设单位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勘察设计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监理单位</w:t>
      </w:r>
    </w:p>
    <w:p>
      <w:pPr>
        <w:adjustRightInd w:val="0"/>
        <w:snapToGrid w:val="0"/>
        <w:spacing w:line="140" w:lineRule="atLeast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19.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多设置在补偿器和附件旁的支架是（  ）</w:t>
      </w:r>
    </w:p>
    <w:p>
      <w:pPr>
        <w:pStyle w:val="9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A．固定支架</w:t>
      </w:r>
    </w:p>
    <w:p>
      <w:pPr>
        <w:pStyle w:val="9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B. 滑动支架</w:t>
      </w:r>
    </w:p>
    <w:p>
      <w:pPr>
        <w:pStyle w:val="9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C. 导向支架</w:t>
      </w:r>
    </w:p>
    <w:p>
      <w:pPr>
        <w:pStyle w:val="9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D. 刚性支架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20.</w:t>
      </w:r>
      <w:r>
        <w:rPr>
          <w:rFonts w:hint="eastAsia" w:ascii="黑体" w:hAnsi="黑体" w:eastAsia="黑体"/>
          <w:sz w:val="24"/>
        </w:rPr>
        <w:t xml:space="preserve"> 关于供热管网清洗的说法，错误的是（  ）</w:t>
      </w:r>
    </w:p>
    <w:p>
      <w:pPr>
        <w:pStyle w:val="9"/>
        <w:ind w:left="42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清洗方法应根据供热管道的运行要求、介质类别而定。可分为人工清洗、水力冲洗和气体吹洗</w:t>
      </w:r>
    </w:p>
    <w:p>
      <w:pPr>
        <w:pStyle w:val="9"/>
        <w:ind w:left="42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供热的供水和回水管道及给水和凝结水的管道，不得用清水清冼</w:t>
      </w:r>
    </w:p>
    <w:p>
      <w:pPr>
        <w:pStyle w:val="9"/>
        <w:ind w:left="42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冲洗应按主干线、支干线、支线分别进行，二级管网应单独进行冲洗。冲洗前应先满水浸泡管道，水流方向应与设计的介质流向一致</w:t>
      </w:r>
    </w:p>
    <w:p>
      <w:pPr>
        <w:pStyle w:val="9"/>
        <w:ind w:left="42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吹洗出口管在有条件的情况下，以斜上方45°为宜，距出口100m范围内，不得有人工作或怕烫的建筑物，必须划定安全区、设定标志、在整个吹洗作业过程中，应有专人值守</w:t>
      </w:r>
    </w:p>
    <w:p>
      <w:pPr>
        <w:adjustRightInd w:val="0"/>
        <w:snapToGrid w:val="0"/>
        <w:spacing w:line="140" w:lineRule="atLeast"/>
        <w:rPr>
          <w:rFonts w:hint="eastAsia" w:ascii="微软雅黑" w:hAnsi="微软雅黑" w:eastAsia="微软雅黑" w:cs="宋体"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二、多项选择题(共10题，每题2分。每题的备选项中，有2个或2个以上符合题意，至少有1个错项。错选，本题不得分；少选，所选的每个选项得0.5分) 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 高程控制网，应布设成（    ）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闭合环线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闭合路线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结点网形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闭合线性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条形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2.</w:t>
      </w:r>
      <w:r>
        <w:rPr>
          <w:rFonts w:hint="eastAsia" w:ascii="黑体" w:hAnsi="黑体" w:eastAsia="黑体"/>
          <w:sz w:val="24"/>
        </w:rPr>
        <w:t xml:space="preserve"> 关于HDPE膜生产焊接要求，说法错误的是（   ）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除了在修补和加帽的地方外，坡底大于1：10处不可有横向的接缝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每一片HDPE膜要在铺设的当天进行焊接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临时焊接可使用溶剂或粘合剂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边坡与底部HDPE膜的焊接应在清晨或晚上气温较高时进行。</w:t>
      </w:r>
    </w:p>
    <w:p>
      <w:pPr>
        <w:pStyle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所有焊缝做到从头到尾进行焊接和修补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3.</w:t>
      </w:r>
      <w:r>
        <w:rPr>
          <w:rFonts w:hint="eastAsia" w:ascii="黑体" w:hAnsi="黑体" w:eastAsia="黑体"/>
          <w:sz w:val="24"/>
        </w:rPr>
        <w:t xml:space="preserve"> 带泄漏检测系统的保温管，焊接前应测试信号线的（    ），合格后方可对口焊接。信号线应在管道上方，相同颜色的信号线应对齐。</w:t>
      </w:r>
    </w:p>
    <w:p>
      <w:pPr>
        <w:numPr>
          <w:ilvl w:val="0"/>
          <w:numId w:val="11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highlight w:val="cyan"/>
        </w:rPr>
        <w:t>通断状况</w:t>
      </w:r>
    </w:p>
    <w:p>
      <w:pPr>
        <w:numPr>
          <w:ilvl w:val="0"/>
          <w:numId w:val="11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highlight w:val="cyan"/>
        </w:rPr>
        <w:t>电阻值</w:t>
      </w:r>
    </w:p>
    <w:p>
      <w:pPr>
        <w:numPr>
          <w:ilvl w:val="0"/>
          <w:numId w:val="11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电压</w:t>
      </w:r>
    </w:p>
    <w:p>
      <w:pPr>
        <w:numPr>
          <w:ilvl w:val="0"/>
          <w:numId w:val="11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电流值</w:t>
      </w:r>
    </w:p>
    <w:p>
      <w:pPr>
        <w:numPr>
          <w:ilvl w:val="0"/>
          <w:numId w:val="11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功耗值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4.</w:t>
      </w:r>
      <w:r>
        <w:rPr>
          <w:rFonts w:hint="eastAsia" w:ascii="黑体" w:hAnsi="黑体" w:eastAsia="黑体"/>
          <w:sz w:val="24"/>
        </w:rPr>
        <w:t xml:space="preserve"> 定向钻机的回转扭矩和回拖力确定应根据（   ）确定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终孔孔径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轴向曲率半径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管道长度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管道材料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障碍物的类型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5.</w:t>
      </w:r>
      <w:r>
        <w:rPr>
          <w:rFonts w:hint="eastAsia" w:ascii="黑体" w:hAnsi="黑体" w:eastAsia="黑体"/>
          <w:sz w:val="24"/>
        </w:rPr>
        <w:t xml:space="preserve"> 下列关于沉井的施工要求，说法错误的是（   ）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刃脚的垫层采用砂垫层上铺垫木或素混凝土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井内设有底梁或支撑梁时应与刃脚部分整体浇捣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设计无要求时，混凝土强度应达到设计强度等级75%后，方可拆除模板或浇筑后一节混凝土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D. 终沉时，每小时测一次，严格控制超沉，沉井封底前自沉速率应小于lOmm/24h </w:t>
      </w:r>
    </w:p>
    <w:p>
      <w:pPr>
        <w:adjustRightInd w:val="0"/>
        <w:snapToGrid w:val="0"/>
        <w:spacing w:line="140" w:lineRule="atLeas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对于有底梁或支撑梁的沉井，其相邻格仓高差不宜超过1m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6.</w:t>
      </w:r>
      <w:r>
        <w:rPr>
          <w:rFonts w:hint="eastAsia" w:ascii="黑体" w:hAnsi="黑体" w:eastAsia="黑体" w:cs="宋体"/>
          <w:sz w:val="24"/>
        </w:rPr>
        <w:t xml:space="preserve"> 水处理（调蓄）构筑物和泵房多数采用地下或半地下钢筋混凝土结构,</w:t>
      </w:r>
      <w:r>
        <w:rPr>
          <w:rFonts w:hint="eastAsia" w:ascii="黑体" w:hAnsi="黑体" w:eastAsia="黑体"/>
          <w:sz w:val="24"/>
        </w:rPr>
        <w:t xml:space="preserve"> 而对于面积大且有一定深度，抗渗性要求较高，使用的是（   ）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氧化塘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生物塘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出水堰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砖砌结构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球墨铸铁管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</w:rPr>
      </w:pPr>
      <w:r>
        <w:rPr>
          <w:rFonts w:hint="eastAsia" w:ascii="微软雅黑" w:hAnsi="微软雅黑" w:eastAsia="微软雅黑" w:cs="宋体"/>
          <w:sz w:val="24"/>
        </w:rPr>
        <w:t>7.</w:t>
      </w:r>
      <w:r>
        <w:rPr>
          <w:rFonts w:hint="eastAsia" w:ascii="黑体" w:hAnsi="黑体" w:eastAsia="黑体"/>
        </w:rPr>
        <w:t xml:space="preserve"> 关于暗挖隧道管棚注浆加固技术的说法，错误的是（   ）</w:t>
      </w:r>
    </w:p>
    <w:p>
      <w:pPr>
        <w:adjustRightInd w:val="0"/>
        <w:snapToGrid w:val="0"/>
        <w:spacing w:line="140" w:lineRule="atLeast"/>
        <w:ind w:firstLine="105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</w:rPr>
        <w:t xml:space="preserve">A. </w:t>
      </w:r>
      <w:r>
        <w:rPr>
          <w:rFonts w:hint="eastAsia" w:ascii="黑体" w:hAnsi="黑体" w:eastAsia="黑体"/>
          <w:sz w:val="24"/>
        </w:rPr>
        <w:t>适用于软弱地层和特殊困难地段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水泥砂浆主要成分为P．O42.5级及以上的硅酸盐水泥，宜采用中砂或粗砂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在松软地层或不均匀地层中钻进时，管棚应设定外插角，角度一般不宜大于3°</w:t>
      </w:r>
    </w:p>
    <w:p>
      <w:pPr>
        <w:pStyle w:val="9"/>
        <w:ind w:firstLine="120" w:firstLineChars="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在铁路、公路正下方施工时，要采用刚度大的钢管间断布设。</w:t>
      </w:r>
    </w:p>
    <w:p>
      <w:pPr>
        <w:pStyle w:val="9"/>
        <w:ind w:firstLine="120" w:firstLineChars="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每隔8m对正在钻进的钻孔及插入钢管的弯曲及其趋势进行孔弯曲测定检查</w:t>
      </w:r>
    </w:p>
    <w:p>
      <w:pPr>
        <w:adjustRightInd w:val="0"/>
        <w:snapToGrid w:val="0"/>
        <w:spacing w:line="140" w:lineRule="atLeast"/>
        <w:ind w:firstLine="120" w:firstLineChars="50"/>
        <w:jc w:val="left"/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8.</w:t>
      </w:r>
      <w:r>
        <w:rPr>
          <w:rFonts w:hint="eastAsia" w:ascii="黑体" w:hAnsi="黑体" w:eastAsia="黑体"/>
          <w:sz w:val="24"/>
        </w:rPr>
        <w:t xml:space="preserve"> 小导管注浆所选用的注浆材料为（   ）</w:t>
      </w:r>
    </w:p>
    <w:p>
      <w:pPr>
        <w:adjustRightInd w:val="0"/>
        <w:snapToGrid w:val="0"/>
        <w:spacing w:line="140" w:lineRule="atLeast"/>
        <w:ind w:firstLine="240" w:firstLineChars="1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A. 改性水玻璃浆、</w:t>
      </w:r>
    </w:p>
    <w:p>
      <w:pPr>
        <w:adjustRightInd w:val="0"/>
        <w:snapToGrid w:val="0"/>
        <w:spacing w:line="140" w:lineRule="atLeast"/>
        <w:ind w:firstLine="240" w:firstLineChars="1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B. 普通水泥单液浆</w:t>
      </w:r>
    </w:p>
    <w:p>
      <w:pPr>
        <w:adjustRightInd w:val="0"/>
        <w:snapToGrid w:val="0"/>
        <w:spacing w:line="140" w:lineRule="atLeast"/>
        <w:ind w:firstLine="240" w:firstLineChars="1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C. 水泥一水玻璃双液浆</w:t>
      </w:r>
    </w:p>
    <w:p>
      <w:pPr>
        <w:adjustRightInd w:val="0"/>
        <w:snapToGrid w:val="0"/>
        <w:spacing w:line="140" w:lineRule="atLeast"/>
        <w:ind w:firstLine="240" w:firstLineChars="1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D. 超细水泥</w:t>
      </w:r>
    </w:p>
    <w:p>
      <w:pPr>
        <w:adjustRightInd w:val="0"/>
        <w:snapToGrid w:val="0"/>
        <w:spacing w:line="140" w:lineRule="atLeast"/>
        <w:ind w:firstLine="240" w:firstLineChars="1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E. 双快水泥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9. 对于不易产生塌孔、缩孔的地层的真空井点成孔，可采取（   ）措施</w:t>
      </w:r>
    </w:p>
    <w:p>
      <w:pPr>
        <w:numPr>
          <w:ilvl w:val="0"/>
          <w:numId w:val="12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长螺旋钻进</w:t>
      </w:r>
    </w:p>
    <w:p>
      <w:pPr>
        <w:numPr>
          <w:ilvl w:val="0"/>
          <w:numId w:val="12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清水钻进</w:t>
      </w:r>
    </w:p>
    <w:p>
      <w:pPr>
        <w:numPr>
          <w:ilvl w:val="0"/>
          <w:numId w:val="12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稀泥浆钻进</w:t>
      </w:r>
    </w:p>
    <w:p>
      <w:pPr>
        <w:numPr>
          <w:ilvl w:val="0"/>
          <w:numId w:val="12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泥浆钻进</w:t>
      </w:r>
    </w:p>
    <w:p>
      <w:pPr>
        <w:numPr>
          <w:ilvl w:val="0"/>
          <w:numId w:val="12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高压水套管冲击钻进</w:t>
      </w:r>
    </w:p>
    <w:p>
      <w:p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10.</w:t>
      </w:r>
      <w:r>
        <w:rPr>
          <w:rFonts w:hint="eastAsia" w:ascii="黑体" w:hAnsi="黑体" w:eastAsia="黑体" w:cs="宋体"/>
          <w:sz w:val="24"/>
        </w:rPr>
        <w:t xml:space="preserve"> 下列（     ）属于基坑内加固的目的？</w:t>
      </w:r>
    </w:p>
    <w:p>
      <w:pPr>
        <w:numPr>
          <w:ilvl w:val="0"/>
          <w:numId w:val="13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提高土体的强度和土体的侧向抗力</w:t>
      </w:r>
    </w:p>
    <w:p>
      <w:pPr>
        <w:numPr>
          <w:ilvl w:val="0"/>
          <w:numId w:val="13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防止坑底土体隆起破坏</w:t>
      </w:r>
    </w:p>
    <w:p>
      <w:pPr>
        <w:numPr>
          <w:ilvl w:val="0"/>
          <w:numId w:val="13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防止坑底土体渗流破坏</w:t>
      </w:r>
    </w:p>
    <w:p>
      <w:pPr>
        <w:numPr>
          <w:ilvl w:val="0"/>
          <w:numId w:val="13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止水</w:t>
      </w:r>
    </w:p>
    <w:p>
      <w:pPr>
        <w:numPr>
          <w:ilvl w:val="0"/>
          <w:numId w:val="13"/>
        </w:numPr>
        <w:adjustRightInd w:val="0"/>
        <w:snapToGrid w:val="0"/>
        <w:spacing w:line="140" w:lineRule="atLeast"/>
        <w:jc w:val="left"/>
        <w:rPr>
          <w:rFonts w:hint="eastAsia" w:ascii="黑体" w:hAnsi="黑体" w:eastAsia="黑体" w:cs="宋体"/>
          <w:sz w:val="24"/>
        </w:rPr>
      </w:pPr>
      <w:r>
        <w:rPr>
          <w:rFonts w:hint="eastAsia" w:ascii="黑体" w:hAnsi="黑体" w:eastAsia="黑体"/>
          <w:sz w:val="24"/>
        </w:rPr>
        <w:t>提高土体的强度和土体的侧向抗力</w:t>
      </w:r>
    </w:p>
    <w:p>
      <w:pPr>
        <w:adjustRightInd w:val="0"/>
        <w:snapToGrid w:val="0"/>
        <w:spacing w:line="140" w:lineRule="atLeast"/>
        <w:ind w:left="780"/>
        <w:jc w:val="left"/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 xml:space="preserve">三、案例题  </w:t>
      </w:r>
      <w:r>
        <w:rPr>
          <w:rFonts w:hint="eastAsia" w:ascii="宋体" w:hAnsi="宋体" w:cs="宋体"/>
          <w:bCs/>
          <w:sz w:val="24"/>
        </w:rPr>
        <w:t>(共四题，每题20分，计80分)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案例一：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某雨污水干线工程，采用钢筋混凝土管，在施工前，合同中拟定采取敞开式顶管法施工，工程长400m,管内径2000mm，壁厚为500mm,其中一段的上游检查井管内顶标高为30.030m，下游检查井管内顶标高为29.080m；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项目部考虑到施工距离长，为方便施工，将原先合同规定的敞开式顶管机更改为密闭式顶管机进行施工，监理发现后及时制止，采取了相关措施后，继续进行施工；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在施工过程中，因自卸卡车倒车，不小心造成5人重伤事故，项目部立即采取紧急救援措施，将伤者送往离施工点约10km外的医院就医.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【问题】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1背景中造成的安全事故，属于几级事故？针对本次的安全事故处理的原则应如何？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2对于发生的安全事故，说明该项目部在施工前的准备工作哪些做得不充分？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3如果本工程提到的检查井之间做闭水试验，计算充水水头标高？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4说明项目部将敞开式顶管机更改为密闭式顶管机的做法的合理性？ 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 w:val="0"/>
          <w:bCs w:val="0"/>
          <w:sz w:val="24"/>
        </w:rPr>
      </w:pP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【参考答案】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numPr>
          <w:ilvl w:val="0"/>
          <w:numId w:val="14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属于一般事故；按照四不放过原则进行：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numPr>
          <w:ilvl w:val="0"/>
          <w:numId w:val="14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没有事故处理安全预案，没有进行安全技术交底，没有按照预案进行演练导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numPr>
          <w:ilvl w:val="0"/>
          <w:numId w:val="14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充水水头标高</w:t>
      </w:r>
      <w:r>
        <w:rPr>
          <w:rFonts w:ascii="宋体" w:hAnsi="宋体" w:cs="宋体"/>
          <w:b w:val="0"/>
          <w:bCs w:val="0"/>
          <w:sz w:val="24"/>
        </w:rPr>
        <w:t>=30.030+0.5+2=32.53m</w:t>
      </w:r>
    </w:p>
    <w:p>
      <w:pPr>
        <w:numPr>
          <w:ilvl w:val="0"/>
          <w:numId w:val="14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不合理，属于专项方案的变更，应重新审批变更后专项方案；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案例二：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某施工单位中标一污水处理厂工程，该项目流程图组成如下图所示：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drawing>
          <wp:inline distT="0" distB="0" distL="114300" distR="114300">
            <wp:extent cx="5487670" cy="1459230"/>
            <wp:effectExtent l="0" t="0" r="13970" b="381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除此之外，还布置一条通向河流的排水管道，管道直径为800mm的聚乙烯双壁波纹管；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施工过程中，因此地块用地审批权迟迟未审批，比合同规定的日期推迟了10天，项目部经理为确保合同能按时完成，为此对原有计划采取了对应的调整，致使工程比原合同晚开工了4天；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【问题】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1本工程的沉淀池的功能性试验应如何进行试验？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2对于沉淀池的功能性试验除水位观测外，还缺少哪些必做的工序？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3项目部对于推迟的工期延误应采取何种措施解决？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4对于此工程的工期延误，是否可提出索赔？为什么？ 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 w:val="0"/>
          <w:bCs w:val="0"/>
          <w:sz w:val="24"/>
        </w:rPr>
      </w:pP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【参考答案】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numPr>
          <w:ilvl w:val="0"/>
          <w:numId w:val="15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按照设计水深分</w:t>
      </w:r>
      <w:r>
        <w:rPr>
          <w:rFonts w:ascii="宋体" w:hAnsi="宋体" w:cs="宋体"/>
          <w:b w:val="0"/>
          <w:bCs w:val="0"/>
          <w:sz w:val="24"/>
        </w:rPr>
        <w:t>3</w:t>
      </w:r>
      <w:r>
        <w:rPr>
          <w:rFonts w:hint="eastAsia" w:ascii="宋体" w:hAnsi="宋体" w:cs="宋体"/>
          <w:b w:val="0"/>
          <w:bCs w:val="0"/>
          <w:sz w:val="24"/>
        </w:rPr>
        <w:t>次，每次为设计水深</w:t>
      </w:r>
      <w:r>
        <w:rPr>
          <w:rFonts w:ascii="宋体" w:hAnsi="宋体" w:cs="宋体"/>
          <w:b w:val="0"/>
          <w:bCs w:val="0"/>
          <w:sz w:val="24"/>
        </w:rPr>
        <w:t>1/3</w:t>
      </w:r>
      <w:r>
        <w:rPr>
          <w:rFonts w:hint="eastAsia" w:ascii="宋体" w:hAnsi="宋体" w:cs="宋体"/>
          <w:b w:val="0"/>
          <w:bCs w:val="0"/>
          <w:sz w:val="24"/>
        </w:rPr>
        <w:t>，每次注水深度</w:t>
      </w:r>
      <w:r>
        <w:rPr>
          <w:rFonts w:ascii="宋体" w:hAnsi="宋体" w:cs="宋体"/>
          <w:b w:val="0"/>
          <w:bCs w:val="0"/>
          <w:sz w:val="24"/>
        </w:rPr>
        <w:t>2m/d,</w:t>
      </w:r>
      <w:r>
        <w:rPr>
          <w:rFonts w:hint="eastAsia" w:ascii="宋体" w:hAnsi="宋体" w:cs="宋体"/>
          <w:b w:val="0"/>
          <w:bCs w:val="0"/>
          <w:sz w:val="24"/>
        </w:rPr>
        <w:t>相邻间隔</w:t>
      </w:r>
      <w:r>
        <w:rPr>
          <w:rFonts w:ascii="宋体" w:hAnsi="宋体" w:cs="宋体"/>
          <w:b w:val="0"/>
          <w:bCs w:val="0"/>
          <w:sz w:val="24"/>
        </w:rPr>
        <w:t>24h</w:t>
      </w:r>
      <w:r>
        <w:rPr>
          <w:rFonts w:hint="eastAsia" w:ascii="宋体" w:hAnsi="宋体" w:cs="宋体"/>
          <w:b w:val="0"/>
          <w:bCs w:val="0"/>
          <w:sz w:val="24"/>
        </w:rPr>
        <w:t>；初读数与末读数间隔</w:t>
      </w:r>
      <w:r>
        <w:rPr>
          <w:rFonts w:ascii="宋体" w:hAnsi="宋体" w:cs="宋体"/>
          <w:b w:val="0"/>
          <w:bCs w:val="0"/>
          <w:sz w:val="24"/>
        </w:rPr>
        <w:t xml:space="preserve">24h; </w:t>
      </w:r>
    </w:p>
    <w:p>
      <w:pPr>
        <w:numPr>
          <w:ilvl w:val="0"/>
          <w:numId w:val="15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试验准备、注水、试验资料整理、蒸发量测定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numPr>
          <w:ilvl w:val="0"/>
          <w:numId w:val="15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不可以同时进行；排水管道为闭水试验，按照上游的设计水位与管顶内壁、上游设计水头、上游检查井的高度做比较，而沉淀池为满水试验；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numPr>
          <w:ilvl w:val="0"/>
          <w:numId w:val="15"/>
        </w:num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可通过调整资源量、工作关系、工作内容、工作时间等措施解决；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可索赔；用地审批权非施工单位原因，为甲方责任；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案例三：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某项目部中标一泥质防渗的大型垃圾填埋场，设计日消纳量尾1000t。在施工时发生如下事件：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事件一：在采购膨润土时，材料管理部经招标方式选择了供应商，并核验三证后，确定材料合格，采购400t的材料；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事件二：技术部门根据现场的结果和以往的经验，确认掺加5%的膨润土，进行防渗层的施工；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事件三、在冬期进行HDPE膜铺设过程中，采取自下而上方式铺贴，作业过程中，对每一片HDPE膜在铺设的次日进行焊接，并在焊缝的位置记录了焊接的编号、焊接人员的编号后经项目经理批准后进行归档；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【问题】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1对于事件一项目部的做法是否正确？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2对于事件二项目部的做法是否正确？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3泥质防水层的质量检验项目是什么？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 对于事件三中说的做法存在哪些不合理之处？请说明理由？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 请补充完整HDPE膜生产焊接还存在哪些记录</w:t>
      </w:r>
      <w:r>
        <w:rPr>
          <w:rFonts w:ascii="宋体" w:hAnsi="宋体" w:cs="宋体"/>
          <w:bCs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 w:val="0"/>
          <w:bCs w:val="0"/>
          <w:sz w:val="24"/>
        </w:rPr>
      </w:pP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【参考答案】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ascii="宋体" w:hAnsi="宋体" w:cs="宋体"/>
          <w:b w:val="0"/>
          <w:bCs w:val="0"/>
          <w:sz w:val="24"/>
        </w:rPr>
        <w:t xml:space="preserve">1. </w:t>
      </w:r>
      <w:r>
        <w:rPr>
          <w:rFonts w:hint="eastAsia" w:ascii="宋体" w:hAnsi="宋体" w:cs="宋体"/>
          <w:b w:val="0"/>
          <w:bCs w:val="0"/>
          <w:sz w:val="24"/>
        </w:rPr>
        <w:t>不合格；除检查三证，还需对膨润土在监理工程师见证下取样、复测合格后使用；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ascii="宋体" w:hAnsi="宋体" w:cs="宋体"/>
          <w:b w:val="0"/>
          <w:bCs w:val="0"/>
          <w:sz w:val="24"/>
        </w:rPr>
        <w:t xml:space="preserve">2. </w:t>
      </w:r>
      <w:r>
        <w:rPr>
          <w:rFonts w:hint="eastAsia" w:ascii="宋体" w:hAnsi="宋体" w:cs="宋体"/>
          <w:b w:val="0"/>
          <w:bCs w:val="0"/>
          <w:sz w:val="24"/>
        </w:rPr>
        <w:t>不正确，不能通过经验确定，应经试验确定；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ascii="宋体" w:hAnsi="宋体" w:cs="宋体"/>
          <w:b w:val="0"/>
          <w:bCs w:val="0"/>
          <w:sz w:val="24"/>
        </w:rPr>
        <w:t xml:space="preserve">3. </w:t>
      </w:r>
      <w:r>
        <w:rPr>
          <w:rFonts w:hint="eastAsia" w:ascii="宋体" w:hAnsi="宋体" w:cs="宋体"/>
          <w:b w:val="0"/>
          <w:bCs w:val="0"/>
          <w:sz w:val="24"/>
        </w:rPr>
        <w:t>压实度和渗水试验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ascii="宋体" w:hAnsi="宋体" w:cs="宋体"/>
          <w:b w:val="0"/>
          <w:bCs w:val="0"/>
          <w:sz w:val="24"/>
        </w:rPr>
        <w:t xml:space="preserve">4. </w:t>
      </w:r>
      <w:r>
        <w:rPr>
          <w:rFonts w:hint="eastAsia" w:ascii="宋体" w:hAnsi="宋体" w:cs="宋体"/>
          <w:b w:val="0"/>
          <w:bCs w:val="0"/>
          <w:sz w:val="24"/>
        </w:rPr>
        <w:t>采取自下而上方式铺贴，作业过程中，对每一片</w:t>
      </w:r>
      <w:r>
        <w:rPr>
          <w:rFonts w:ascii="宋体" w:hAnsi="宋体" w:cs="宋体"/>
          <w:b w:val="0"/>
          <w:bCs w:val="0"/>
          <w:sz w:val="24"/>
        </w:rPr>
        <w:t>HDPE</w:t>
      </w:r>
      <w:r>
        <w:rPr>
          <w:rFonts w:hint="eastAsia" w:ascii="宋体" w:hAnsi="宋体" w:cs="宋体"/>
          <w:b w:val="0"/>
          <w:bCs w:val="0"/>
          <w:sz w:val="24"/>
        </w:rPr>
        <w:t>膜在铺设的次日进行焊接不妥；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改正：采取从上到下滚铺方式、当日铺设应当日焊接</w:t>
      </w:r>
      <w:r>
        <w:rPr>
          <w:rFonts w:ascii="宋体" w:hAnsi="宋体" w:cs="宋体"/>
          <w:b w:val="0"/>
          <w:bCs w:val="0"/>
          <w:sz w:val="24"/>
        </w:rPr>
        <w:t xml:space="preserve"> </w:t>
      </w:r>
    </w:p>
    <w:p>
      <w:pPr>
        <w:adjustRightInd w:val="0"/>
        <w:snapToGrid w:val="0"/>
        <w:spacing w:line="140" w:lineRule="atLeast"/>
        <w:rPr>
          <w:rFonts w:ascii="宋体" w:hAnsi="宋体" w:cs="宋体"/>
          <w:b w:val="0"/>
          <w:bCs w:val="0"/>
          <w:sz w:val="24"/>
        </w:rPr>
      </w:pPr>
      <w:r>
        <w:rPr>
          <w:rFonts w:ascii="宋体" w:hAnsi="宋体" w:cs="宋体"/>
          <w:b w:val="0"/>
          <w:bCs w:val="0"/>
          <w:sz w:val="24"/>
        </w:rPr>
        <w:t xml:space="preserve">5. </w:t>
      </w:r>
      <w:r>
        <w:rPr>
          <w:rFonts w:hint="eastAsia" w:ascii="宋体" w:hAnsi="宋体" w:cs="宋体"/>
          <w:b w:val="0"/>
          <w:bCs w:val="0"/>
          <w:sz w:val="24"/>
        </w:rPr>
        <w:t>还缺少：焊接设备编号、焊接温度、环境温度、焊接速度、接缝长度、日期、时间</w:t>
      </w: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 w:val="0"/>
          <w:bCs w:val="0"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140" w:lineRule="atLeas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案例四：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某施工单位承接某山区一段沥青混凝土路面工程新建和改建工程，工程总长3km，需要在山体下发开挖一道路堑，在开挖过程中，路堑边坡不能自行稳定，施工项目部决定采用图1所示的方式对路堑边坡进行防止失稳滑坡；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drawing>
          <wp:inline distT="0" distB="0" distL="114300" distR="114300">
            <wp:extent cx="5273040" cy="2355850"/>
            <wp:effectExtent l="0" t="0" r="0" b="635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在进行路基挖土过程中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发现路基为湿陷性黄土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项目部为了防止水渗入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采取了换土等处理措施对路基进行了加固处理</w:t>
      </w:r>
      <w:r>
        <w:rPr>
          <w:rFonts w:hint="eastAsia" w:ascii="黑体" w:hAnsi="黑体" w:eastAsia="黑体"/>
          <w:sz w:val="24"/>
        </w:rPr>
        <w:t>；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在进行基层</w:t>
      </w:r>
      <w:r>
        <w:rPr>
          <w:rFonts w:hint="eastAsia" w:ascii="黑体" w:hAnsi="黑体" w:eastAsia="黑体"/>
          <w:sz w:val="24"/>
        </w:rPr>
        <w:t>压实</w:t>
      </w:r>
      <w:r>
        <w:rPr>
          <w:rFonts w:ascii="黑体" w:hAnsi="黑体" w:eastAsia="黑体"/>
          <w:sz w:val="24"/>
        </w:rPr>
        <w:t>时</w:t>
      </w:r>
      <w:r>
        <w:rPr>
          <w:rFonts w:hint="eastAsia" w:ascii="黑体" w:hAnsi="黑体" w:eastAsia="黑体"/>
          <w:sz w:val="24"/>
        </w:rPr>
        <w:t>，项目部按照施工组织设计要求，分层进行压实，每层控制控制在160mm，采用了由高到低、由快到慢的方式，用12t的压路机进行碾压，发现不能满足厚度要求，项目部随即采用5mm的水泥稳定土材料铺在已压实好的路基上进行加铺厚度；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在进行旧沥青路面防治时，项目部先对原有路面进行清洁处理，然后图2顺序进行施工后铺筑新沥青面；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在进行沥青面层碾压时，采用钢轮压路机碾压1-2遍，碾压时驱动轮背向摊铺机，由高到低进行碾压，初压一遍完成进行复压，当表面温度降温到60</w:t>
      </w:r>
      <w:r>
        <w:rPr>
          <w:rFonts w:hint="eastAsia" w:ascii="宋体" w:hAnsi="宋体"/>
          <w:sz w:val="24"/>
        </w:rPr>
        <w:t>℃</w:t>
      </w:r>
      <w:r>
        <w:rPr>
          <w:rFonts w:hint="eastAsia" w:ascii="黑体" w:hAnsi="黑体" w:eastAsia="黑体"/>
          <w:sz w:val="24"/>
        </w:rPr>
        <w:t>时，开放交通；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【问题】</w:t>
      </w:r>
    </w:p>
    <w:p>
      <w:pPr>
        <w:pStyle w:val="11"/>
        <w:numPr>
          <w:ilvl w:val="0"/>
          <w:numId w:val="16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请指出图1中的A、B、C名称，并指出此为何种挡墙方式；</w:t>
      </w:r>
    </w:p>
    <w:p>
      <w:pPr>
        <w:pStyle w:val="11"/>
        <w:numPr>
          <w:ilvl w:val="0"/>
          <w:numId w:val="16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请补充完整</w:t>
      </w:r>
      <w:r>
        <w:rPr>
          <w:rFonts w:ascii="黑体" w:hAnsi="黑体" w:eastAsia="黑体"/>
          <w:sz w:val="24"/>
          <w:szCs w:val="24"/>
        </w:rPr>
        <w:t>湿陷性黄土的加固处理方案</w:t>
      </w:r>
      <w:r>
        <w:rPr>
          <w:rFonts w:hint="eastAsia" w:ascii="黑体" w:hAnsi="黑体" w:eastAsia="黑体"/>
          <w:sz w:val="24"/>
          <w:szCs w:val="24"/>
        </w:rPr>
        <w:t>；</w:t>
      </w:r>
    </w:p>
    <w:p>
      <w:pPr>
        <w:pStyle w:val="11"/>
        <w:numPr>
          <w:ilvl w:val="0"/>
          <w:numId w:val="16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背景中基层压实方式存在不合理之处，请指出并改正；</w:t>
      </w:r>
    </w:p>
    <w:p>
      <w:pPr>
        <w:pStyle w:val="11"/>
        <w:numPr>
          <w:ilvl w:val="0"/>
          <w:numId w:val="16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请补充完整图2的施工流程，说明D、E、F为何种工序；</w:t>
      </w:r>
    </w:p>
    <w:p>
      <w:pPr>
        <w:pStyle w:val="11"/>
        <w:numPr>
          <w:ilvl w:val="0"/>
          <w:numId w:val="16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沥青面层施工的做法存在不合理之处，请指出并改正；</w:t>
      </w:r>
    </w:p>
    <w:p>
      <w:pPr>
        <w:pStyle w:val="11"/>
        <w:numPr>
          <w:ilvl w:val="0"/>
          <w:numId w:val="0"/>
        </w:numPr>
        <w:ind w:left="480" w:leftChars="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【答案】</w:t>
      </w:r>
    </w:p>
    <w:p>
      <w:pPr>
        <w:pStyle w:val="11"/>
        <w:numPr>
          <w:ilvl w:val="0"/>
          <w:numId w:val="17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A:拉筋 B:填土 C:面板  为加筋土挡土墙</w:t>
      </w:r>
    </w:p>
    <w:p>
      <w:pPr>
        <w:pStyle w:val="11"/>
        <w:numPr>
          <w:ilvl w:val="0"/>
          <w:numId w:val="17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强夯法、挤密法、预浸法、化学加固法</w:t>
      </w:r>
      <w:r>
        <w:rPr>
          <w:rFonts w:hint="eastAsia" w:ascii="黑体" w:hAnsi="黑体" w:eastAsia="黑体"/>
          <w:color w:val="FF0000"/>
          <w:sz w:val="24"/>
          <w:szCs w:val="24"/>
          <w:bdr w:val="single" w:color="auto" w:sz="4" w:space="0"/>
        </w:rPr>
        <w:t>（夯机挤净化）</w:t>
      </w:r>
    </w:p>
    <w:p>
      <w:pPr>
        <w:pStyle w:val="11"/>
        <w:numPr>
          <w:ilvl w:val="0"/>
          <w:numId w:val="17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不合理1：采用高到低、由快到慢的方式；改正：应由低到高、由慢到快的碾压</w:t>
      </w:r>
    </w:p>
    <w:p>
      <w:pPr>
        <w:pStyle w:val="11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不合理2：用12t的压路机进行碾压；改正：应采用18T压路机进行碾压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不合理3：随即采用5mm的水泥稳定土材料铺在已压实好的路基上进行加铺厚度；</w:t>
      </w:r>
    </w:p>
    <w:p>
      <w:pPr>
        <w:pStyle w:val="11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改正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严禁薄层贴补</w:t>
      </w:r>
      <w:r>
        <w:rPr>
          <w:rFonts w:hint="eastAsia" w:ascii="黑体" w:hAnsi="黑体" w:eastAsia="黑体"/>
          <w:sz w:val="24"/>
          <w:szCs w:val="24"/>
        </w:rPr>
        <w:t>，</w:t>
      </w:r>
      <w:r>
        <w:rPr>
          <w:rFonts w:ascii="黑体" w:hAnsi="黑体" w:eastAsia="黑体"/>
          <w:sz w:val="24"/>
          <w:szCs w:val="24"/>
        </w:rPr>
        <w:t>应采取挖补</w:t>
      </w:r>
      <w:r>
        <w:rPr>
          <w:rFonts w:hint="eastAsia" w:ascii="黑体" w:hAnsi="黑体" w:eastAsia="黑体"/>
          <w:sz w:val="24"/>
          <w:szCs w:val="24"/>
        </w:rPr>
        <w:t>95mm深度，加铺100mm厚度进行碾压；</w:t>
      </w:r>
    </w:p>
    <w:p>
      <w:pPr>
        <w:pStyle w:val="11"/>
        <w:numPr>
          <w:ilvl w:val="0"/>
          <w:numId w:val="17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D:搭接 E：固定 F:洒粘层油</w:t>
      </w:r>
    </w:p>
    <w:p>
      <w:pPr>
        <w:pStyle w:val="11"/>
        <w:numPr>
          <w:ilvl w:val="0"/>
          <w:numId w:val="17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不合理</w:t>
      </w:r>
      <w:r>
        <w:rPr>
          <w:rFonts w:hint="eastAsia" w:ascii="黑体" w:hAnsi="黑体" w:eastAsia="黑体"/>
          <w:sz w:val="24"/>
          <w:szCs w:val="24"/>
        </w:rPr>
        <w:t>1：碾压时驱动轮背向摊铺机；改正：驱动轮面向摊铺机</w:t>
      </w:r>
    </w:p>
    <w:p>
      <w:pPr>
        <w:pStyle w:val="11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不合理2：由高到低进行碾压；改正：由低到高碾压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不合理3：表面温度降温到60℃时，开放交通  改正：应自然降温到低于50℃时开放交通</w:t>
      </w:r>
    </w:p>
    <w:p>
      <w:pPr>
        <w:snapToGrid w:val="0"/>
        <w:spacing w:line="360" w:lineRule="auto"/>
        <w:rPr>
          <w:rFonts w:hint="eastAsia"/>
          <w:sz w:val="21"/>
          <w:szCs w:val="21"/>
        </w:rPr>
      </w:pPr>
    </w:p>
    <w:p>
      <w:pPr>
        <w:snapToGrid w:val="0"/>
        <w:spacing w:line="360" w:lineRule="auto"/>
        <w:rPr>
          <w:rFonts w:ascii="黑体" w:hAnsi="黑体" w:eastAsia="黑体"/>
          <w:sz w:val="21"/>
          <w:szCs w:val="21"/>
        </w:rPr>
      </w:pPr>
    </w:p>
    <w:p>
      <w:pPr>
        <w:rPr>
          <w:rFonts w:hint="eastAsia" w:ascii="黑体" w:hAnsi="黑体" w:eastAsia="黑体" w:cs="黑体"/>
          <w:b w:val="0"/>
          <w:bCs w:val="0"/>
          <w:color w:val="0000FF"/>
          <w:kern w:val="2"/>
          <w:sz w:val="21"/>
          <w:szCs w:val="21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00" w:lineRule="exact"/>
      <w:ind w:left="0" w:leftChars="0" w:right="0" w:rightChars="0" w:firstLine="0" w:firstLineChars="0"/>
      <w:jc w:val="both"/>
      <w:textAlignment w:val="auto"/>
      <w:outlineLvl w:val="9"/>
      <w:rPr>
        <w:rFonts w:hint="eastAsia" w:ascii="新宋体" w:hAnsi="新宋体" w:eastAsia="新宋体" w:cs="新宋体"/>
        <w:b/>
        <w:bCs/>
        <w:color w:val="auto"/>
        <w:sz w:val="15"/>
        <w:szCs w:val="15"/>
        <w:lang w:val="en-US" w:eastAsia="zh-CN"/>
      </w:rPr>
    </w:pPr>
    <w:r>
      <w:rPr>
        <w:rFonts w:hint="eastAsia" w:ascii="新宋体" w:hAnsi="新宋体" w:eastAsia="新宋体" w:cs="新宋体"/>
        <w:b/>
        <w:bCs/>
        <w:color w:val="auto"/>
        <w:sz w:val="15"/>
        <w:szCs w:val="15"/>
        <w:lang w:val="en-US" w:eastAsia="zh-CN"/>
      </w:rPr>
      <w:t xml:space="preserve">陕西总校：西安市后卫寨启航时代广场B座706   </w:t>
    </w:r>
    <w:r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</w:rPr>
      <w:t>029-89112648</w:t>
    </w:r>
    <w:r>
      <w:rPr>
        <w:rFonts w:hint="eastAsia" w:ascii="新宋体" w:hAnsi="新宋体" w:eastAsia="新宋体" w:cs="新宋体"/>
        <w:b/>
        <w:bCs/>
        <w:color w:val="auto"/>
        <w:sz w:val="15"/>
        <w:szCs w:val="15"/>
        <w:lang w:val="en-US" w:eastAsia="zh-CN"/>
      </w:rPr>
      <w:t xml:space="preserve">      宝鸡分校：金台区东岭集团国金中心1818室  </w:t>
    </w:r>
    <w:r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</w:rPr>
      <w:t>0917-</w:t>
    </w:r>
    <w:r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  <w:lang w:val="en-US" w:eastAsia="zh-CN"/>
      </w:rPr>
      <w:t>3157055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00" w:lineRule="exact"/>
      <w:ind w:left="0" w:leftChars="0" w:right="0" w:rightChars="0" w:firstLine="0" w:firstLineChars="0"/>
      <w:jc w:val="both"/>
      <w:textAlignment w:val="auto"/>
      <w:outlineLvl w:val="9"/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</w:rPr>
    </w:pPr>
    <w:r>
      <w:rPr>
        <w:rFonts w:hint="eastAsia" w:ascii="新宋体" w:hAnsi="新宋体" w:eastAsia="新宋体" w:cs="新宋体"/>
        <w:b/>
        <w:bCs/>
        <w:color w:val="auto"/>
        <w:sz w:val="15"/>
        <w:szCs w:val="15"/>
        <w:lang w:val="en-US" w:eastAsia="zh-CN"/>
      </w:rPr>
      <w:t xml:space="preserve">汉中分校：汉台区兴汉路恒创大厦403室   0916-8889861            延安分校：宝塔区丽景花园11号楼2单元2704室  </w:t>
    </w:r>
    <w:r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</w:rPr>
      <w:t>0911--2602688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00" w:lineRule="exact"/>
      <w:ind w:left="0" w:leftChars="0" w:right="0" w:rightChars="0" w:firstLine="0" w:firstLineChars="0"/>
      <w:jc w:val="both"/>
      <w:textAlignment w:val="auto"/>
      <w:outlineLvl w:val="9"/>
      <w:rPr>
        <w:rFonts w:hint="eastAsia" w:ascii="新宋体" w:hAnsi="新宋体" w:eastAsia="新宋体" w:cs="新宋体"/>
        <w:b/>
        <w:bCs/>
        <w:color w:val="auto"/>
        <w:sz w:val="15"/>
        <w:szCs w:val="15"/>
      </w:rPr>
    </w:pPr>
    <w:r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  <w:lang w:eastAsia="zh-CN"/>
      </w:rPr>
      <w:t>榆林分校：榆阳区航宇路市建委对面三楼</w:t>
    </w:r>
    <w:r>
      <w:rPr>
        <w:rFonts w:hint="eastAsia" w:ascii="新宋体" w:hAnsi="新宋体" w:eastAsia="新宋体" w:cs="新宋体"/>
        <w:b/>
        <w:bCs/>
        <w:i w:val="0"/>
        <w:caps w:val="0"/>
        <w:color w:val="auto"/>
        <w:spacing w:val="0"/>
        <w:sz w:val="15"/>
        <w:szCs w:val="15"/>
        <w:lang w:val="en-US" w:eastAsia="zh-CN"/>
      </w:rPr>
      <w:t xml:space="preserve"> 0912-3643271              商洛分校：商州区金源二路中段东六楼         0914-2395557</w:t>
    </w:r>
  </w:p>
  <w:p>
    <w:pPr>
      <w:pStyle w:val="4"/>
      <w:keepNext w:val="0"/>
      <w:keepLines w:val="0"/>
      <w:pageBreakBefore w:val="0"/>
      <w:widowControl w:val="0"/>
      <w:tabs>
        <w:tab w:val="left" w:pos="597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200" w:lineRule="exact"/>
      <w:textAlignment w:val="auto"/>
      <w:rPr>
        <w:rFonts w:hint="eastAsia" w:eastAsiaTheme="minorEastAsia"/>
        <w:lang w:val="en-US" w:eastAsia="zh-CN"/>
      </w:rPr>
    </w:pPr>
    <w:r>
      <w:rPr>
        <w:rFonts w:hint="eastAsia" w:ascii="新宋体" w:hAnsi="新宋体" w:eastAsia="新宋体" w:cs="新宋体"/>
        <w:b/>
        <w:bCs/>
        <w:sz w:val="15"/>
        <w:szCs w:val="15"/>
        <w:lang w:val="en-US" w:eastAsia="zh-CN"/>
      </w:rPr>
      <w:t>兰州分校：城关区皋兰路宏宇大厦1805室 0931-8649670             西宁分校：城西区万达中心一号写字楼2008室0971-4723398</w:t>
    </w:r>
    <w:r>
      <w:rPr>
        <w:rFonts w:hint="eastAsia" w:ascii="新宋体" w:hAnsi="新宋体" w:eastAsia="新宋体" w:cs="新宋体"/>
        <w:b/>
        <w:bCs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36195</wp:posOffset>
          </wp:positionV>
          <wp:extent cx="1120140" cy="229870"/>
          <wp:effectExtent l="0" t="0" r="3810" b="1778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rcRect t="81916"/>
                  <a:stretch>
                    <a:fillRect/>
                  </a:stretch>
                </pic:blipFill>
                <pic:spPr>
                  <a:xfrm>
                    <a:off x="0" y="0"/>
                    <a:ext cx="1120140" cy="229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-54610</wp:posOffset>
          </wp:positionV>
          <wp:extent cx="414655" cy="393065"/>
          <wp:effectExtent l="0" t="0" r="4445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rcRect b="16464"/>
                  <a:stretch>
                    <a:fillRect/>
                  </a:stretch>
                </pic:blipFill>
                <pic:spPr>
                  <a:xfrm>
                    <a:off x="0" y="0"/>
                    <a:ext cx="414655" cy="3930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</w:t>
    </w:r>
  </w:p>
  <w:p>
    <w:pPr>
      <w:pStyle w:val="5"/>
      <w:ind w:firstLine="4320" w:firstLineChars="2400"/>
      <w:jc w:val="both"/>
      <w:rPr>
        <w:rFonts w:hint="eastAsia" w:eastAsiaTheme="minorEastAsia"/>
        <w:b/>
        <w:bCs/>
        <w:lang w:val="en-US" w:eastAsia="zh-CN"/>
      </w:rPr>
    </w:pPr>
    <w:r>
      <w:rPr>
        <w:sz w:val="18"/>
      </w:rPr>
      <w:pict>
        <v:shape id="PowerPlusWaterMarkObject58618" o:spid="_x0000_s4097" o:spt="136" type="#_x0000_t136" style="position:absolute;left:0pt;height:124.2pt;width:564.85pt;mso-position-horizontal:center;mso-position-horizontal-relative:margin;mso-position-vertical:center;mso-position-vertical-relative:margin;rotation:-2949120f;z-index:-25163878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shape="t" fitpath="t" trim="t" xscale="f" string="百典教育集团" style="font-family:微软雅黑;font-size:36pt;v-same-letter-heights:f;v-text-align:center;"/>
        </v:shape>
      </w:pict>
    </w:r>
    <w:r>
      <w:rPr>
        <w:rFonts w:hint="eastAsia" w:ascii="方正正大黑简体" w:hAnsi="方正正大黑简体" w:eastAsia="方正正大黑简体" w:cs="方正正大黑简体"/>
        <w:b/>
        <w:bCs/>
        <w:lang w:val="en-US" w:eastAsia="zh-CN"/>
      </w:rPr>
      <w:t>国内首家共享式建筑考辅教育机构   www.baidianjituan.com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09"/>
    <w:multiLevelType w:val="multilevel"/>
    <w:tmpl w:val="02B80B09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  <w:sz w:val="21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EAB781A"/>
    <w:multiLevelType w:val="multilevel"/>
    <w:tmpl w:val="0EAB781A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F7C3225"/>
    <w:multiLevelType w:val="multilevel"/>
    <w:tmpl w:val="0F7C322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436B88"/>
    <w:multiLevelType w:val="multilevel"/>
    <w:tmpl w:val="15436B88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8C35A2"/>
    <w:multiLevelType w:val="multilevel"/>
    <w:tmpl w:val="198C35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2F270D"/>
    <w:multiLevelType w:val="multilevel"/>
    <w:tmpl w:val="292F270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0CF4374"/>
    <w:multiLevelType w:val="multilevel"/>
    <w:tmpl w:val="30CF4374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A940FC3"/>
    <w:multiLevelType w:val="multilevel"/>
    <w:tmpl w:val="3A940FC3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DF34275"/>
    <w:multiLevelType w:val="multilevel"/>
    <w:tmpl w:val="3DF3427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28D1FDC"/>
    <w:multiLevelType w:val="multilevel"/>
    <w:tmpl w:val="528D1FDC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34CE3A3"/>
    <w:multiLevelType w:val="singleLevel"/>
    <w:tmpl w:val="534CE3A3"/>
    <w:lvl w:ilvl="0" w:tentative="0">
      <w:start w:val="1"/>
      <w:numFmt w:val="chineseCounting"/>
      <w:suff w:val="nothing"/>
      <w:lvlText w:val="%1、"/>
      <w:lvlJc w:val="left"/>
    </w:lvl>
  </w:abstractNum>
  <w:abstractNum w:abstractNumId="11">
    <w:nsid w:val="6A145F38"/>
    <w:multiLevelType w:val="multilevel"/>
    <w:tmpl w:val="6A145F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976E76"/>
    <w:multiLevelType w:val="multilevel"/>
    <w:tmpl w:val="6A976E76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D773610"/>
    <w:multiLevelType w:val="multilevel"/>
    <w:tmpl w:val="6D7736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F3F1A7E"/>
    <w:multiLevelType w:val="multilevel"/>
    <w:tmpl w:val="6F3F1A7E"/>
    <w:lvl w:ilvl="0" w:tentative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702513D7"/>
    <w:multiLevelType w:val="multilevel"/>
    <w:tmpl w:val="702513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61C7439"/>
    <w:multiLevelType w:val="multilevel"/>
    <w:tmpl w:val="761C7439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64E8"/>
    <w:rsid w:val="027F7D68"/>
    <w:rsid w:val="032542E8"/>
    <w:rsid w:val="03546A73"/>
    <w:rsid w:val="03723C56"/>
    <w:rsid w:val="05E168C1"/>
    <w:rsid w:val="06A13BA4"/>
    <w:rsid w:val="07103D60"/>
    <w:rsid w:val="07E8617A"/>
    <w:rsid w:val="08074B6A"/>
    <w:rsid w:val="0810689F"/>
    <w:rsid w:val="0829145B"/>
    <w:rsid w:val="08653607"/>
    <w:rsid w:val="086E5C1E"/>
    <w:rsid w:val="08ED1DD7"/>
    <w:rsid w:val="08FB429B"/>
    <w:rsid w:val="094B2CF3"/>
    <w:rsid w:val="0A746877"/>
    <w:rsid w:val="0B1439DD"/>
    <w:rsid w:val="0BB02C88"/>
    <w:rsid w:val="0C2F0301"/>
    <w:rsid w:val="0CE618AF"/>
    <w:rsid w:val="0EE0666F"/>
    <w:rsid w:val="10462D76"/>
    <w:rsid w:val="135D2857"/>
    <w:rsid w:val="13D01874"/>
    <w:rsid w:val="155200EC"/>
    <w:rsid w:val="15985762"/>
    <w:rsid w:val="17367277"/>
    <w:rsid w:val="17497197"/>
    <w:rsid w:val="17EE0386"/>
    <w:rsid w:val="1915618B"/>
    <w:rsid w:val="1A4F177A"/>
    <w:rsid w:val="1C3A3CF6"/>
    <w:rsid w:val="1C9A3AAC"/>
    <w:rsid w:val="1CE951E3"/>
    <w:rsid w:val="1E3644D2"/>
    <w:rsid w:val="1EE35753"/>
    <w:rsid w:val="1FBE589E"/>
    <w:rsid w:val="203562BF"/>
    <w:rsid w:val="214449C5"/>
    <w:rsid w:val="21737B28"/>
    <w:rsid w:val="21CC558B"/>
    <w:rsid w:val="2217601A"/>
    <w:rsid w:val="23377F79"/>
    <w:rsid w:val="23F84D33"/>
    <w:rsid w:val="259A1BB2"/>
    <w:rsid w:val="27F350B4"/>
    <w:rsid w:val="28DE0403"/>
    <w:rsid w:val="2A90075D"/>
    <w:rsid w:val="2A906293"/>
    <w:rsid w:val="2AA67415"/>
    <w:rsid w:val="2B7D481A"/>
    <w:rsid w:val="2E8670D1"/>
    <w:rsid w:val="2F260A43"/>
    <w:rsid w:val="2F361B5F"/>
    <w:rsid w:val="2FCA3B41"/>
    <w:rsid w:val="30D07920"/>
    <w:rsid w:val="30E96457"/>
    <w:rsid w:val="33A24AA1"/>
    <w:rsid w:val="344F42D6"/>
    <w:rsid w:val="358F4C03"/>
    <w:rsid w:val="366E69FA"/>
    <w:rsid w:val="378624E6"/>
    <w:rsid w:val="378C6DF8"/>
    <w:rsid w:val="38271EC2"/>
    <w:rsid w:val="39A60D63"/>
    <w:rsid w:val="39AA177E"/>
    <w:rsid w:val="3A350EC5"/>
    <w:rsid w:val="3A357516"/>
    <w:rsid w:val="3B1973C2"/>
    <w:rsid w:val="3B1E7218"/>
    <w:rsid w:val="3B4D11A0"/>
    <w:rsid w:val="3B5175AE"/>
    <w:rsid w:val="3B9D1950"/>
    <w:rsid w:val="3BBC7010"/>
    <w:rsid w:val="3C1A6DA8"/>
    <w:rsid w:val="3C8A2592"/>
    <w:rsid w:val="3CA56079"/>
    <w:rsid w:val="3CA854BF"/>
    <w:rsid w:val="3E9902BF"/>
    <w:rsid w:val="3F3C5823"/>
    <w:rsid w:val="40143598"/>
    <w:rsid w:val="40BE2555"/>
    <w:rsid w:val="4131005F"/>
    <w:rsid w:val="450309E5"/>
    <w:rsid w:val="452401AE"/>
    <w:rsid w:val="454150C7"/>
    <w:rsid w:val="45644129"/>
    <w:rsid w:val="47696562"/>
    <w:rsid w:val="4A5A61EA"/>
    <w:rsid w:val="4AD51239"/>
    <w:rsid w:val="4AF23876"/>
    <w:rsid w:val="4B0B2D28"/>
    <w:rsid w:val="4B6924A7"/>
    <w:rsid w:val="4C244CB3"/>
    <w:rsid w:val="4C557C66"/>
    <w:rsid w:val="4DA87536"/>
    <w:rsid w:val="4F667847"/>
    <w:rsid w:val="50521967"/>
    <w:rsid w:val="518E6F1E"/>
    <w:rsid w:val="52350C9B"/>
    <w:rsid w:val="526D0D50"/>
    <w:rsid w:val="532B3D33"/>
    <w:rsid w:val="536820CC"/>
    <w:rsid w:val="546614E5"/>
    <w:rsid w:val="54BB0037"/>
    <w:rsid w:val="56595127"/>
    <w:rsid w:val="574B6A93"/>
    <w:rsid w:val="578876C5"/>
    <w:rsid w:val="586468AA"/>
    <w:rsid w:val="58FA144D"/>
    <w:rsid w:val="59B6796B"/>
    <w:rsid w:val="5C136734"/>
    <w:rsid w:val="5C170075"/>
    <w:rsid w:val="5E10220B"/>
    <w:rsid w:val="5F8D0CBB"/>
    <w:rsid w:val="615D6E06"/>
    <w:rsid w:val="634E7B6B"/>
    <w:rsid w:val="65850B2F"/>
    <w:rsid w:val="678F50F6"/>
    <w:rsid w:val="67DE4A7C"/>
    <w:rsid w:val="67E574F3"/>
    <w:rsid w:val="69997068"/>
    <w:rsid w:val="69D86AD6"/>
    <w:rsid w:val="69DD57E6"/>
    <w:rsid w:val="6A585DC0"/>
    <w:rsid w:val="6DBA446F"/>
    <w:rsid w:val="6E506A90"/>
    <w:rsid w:val="6F316855"/>
    <w:rsid w:val="6FC26456"/>
    <w:rsid w:val="700045E4"/>
    <w:rsid w:val="70680683"/>
    <w:rsid w:val="733F17A5"/>
    <w:rsid w:val="75EC3817"/>
    <w:rsid w:val="76EE0BC6"/>
    <w:rsid w:val="77462C94"/>
    <w:rsid w:val="77C605A0"/>
    <w:rsid w:val="78CF151B"/>
    <w:rsid w:val="790E2A6E"/>
    <w:rsid w:val="7AB17E54"/>
    <w:rsid w:val="7B0D7F50"/>
    <w:rsid w:val="7C7E4F29"/>
    <w:rsid w:val="7CCC49FD"/>
    <w:rsid w:val="7E7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 w:val="0"/>
      <w:spacing w:beforeAutospacing="1" w:afterAutospacing="1"/>
    </w:pPr>
    <w:rPr>
      <w:rFonts w:ascii="Calibri" w:hAnsi="Calibri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样式 首行缩进:  2 字符"/>
    <w:basedOn w:val="1"/>
    <w:qFormat/>
    <w:uiPriority w:val="0"/>
    <w:pPr>
      <w:spacing w:line="360" w:lineRule="auto"/>
      <w:ind w:firstLine="561"/>
    </w:pPr>
    <w:rPr>
      <w:rFonts w:cs="宋体"/>
      <w:sz w:val="24"/>
      <w:szCs w:val="24"/>
    </w:rPr>
  </w:style>
  <w:style w:type="paragraph" w:styleId="11">
    <w:name w:val="List Paragraph"/>
    <w:basedOn w:val="1"/>
    <w:unhideWhenUsed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8380</Words>
  <Characters>8846</Characters>
  <Lines>0</Lines>
  <Paragraphs>0</Paragraphs>
  <TotalTime>0</TotalTime>
  <ScaleCrop>false</ScaleCrop>
  <LinksUpToDate>false</LinksUpToDate>
  <CharactersWithSpaces>8891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2018-05-12T05:42:00Z</cp:lastPrinted>
  <dcterms:modified xsi:type="dcterms:W3CDTF">2018-06-23T09:30:26Z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