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宋体" w:hAnsi="宋体"/>
          <w:sz w:val="21"/>
          <w:szCs w:val="21"/>
        </w:rPr>
      </w:pPr>
    </w:p>
    <w:p>
      <w:pPr>
        <w:tabs>
          <w:tab w:val="left" w:pos="1168"/>
          <w:tab w:val="center" w:pos="4936"/>
        </w:tabs>
        <w:jc w:val="left"/>
        <w:rPr>
          <w:rFonts w:hint="eastAsia" w:ascii="宋体" w:hAnsi="宋体"/>
          <w:b/>
          <w:bCs/>
          <w:sz w:val="21"/>
          <w:szCs w:val="21"/>
          <w:lang w:val="en-US" w:eastAsia="zh-CN"/>
        </w:rPr>
      </w:pPr>
      <w:r>
        <w:rPr>
          <w:rFonts w:hint="eastAsia" w:ascii="宋体" w:hAnsi="宋体"/>
          <w:b/>
          <w:bCs/>
          <w:sz w:val="21"/>
          <w:szCs w:val="21"/>
          <w:lang w:val="en-US" w:eastAsia="zh-CN"/>
        </w:rPr>
        <w:tab/>
      </w:r>
      <w:r>
        <w:rPr>
          <w:rFonts w:hint="eastAsia" w:ascii="宋体" w:hAnsi="宋体"/>
          <w:b/>
          <w:bCs/>
          <w:sz w:val="21"/>
          <w:szCs w:val="21"/>
          <w:lang w:val="en-US" w:eastAsia="zh-CN"/>
        </w:rPr>
        <w:tab/>
      </w:r>
      <w:r>
        <w:rPr>
          <w:rFonts w:hint="eastAsia" w:ascii="宋体" w:hAnsi="宋体"/>
          <w:b/>
          <w:bCs/>
          <w:sz w:val="21"/>
          <w:szCs w:val="21"/>
          <w:lang w:val="en-US" w:eastAsia="zh-CN"/>
        </w:rPr>
        <w:t>2023年二级建造师《建筑实务》百点通</w:t>
      </w:r>
    </w:p>
    <w:p>
      <w:pPr>
        <w:autoSpaceDE/>
        <w:autoSpaceDN/>
        <w:adjustRightInd/>
        <w:spacing w:before="220" w:beforeLines="0" w:afterLines="0" w:line="240" w:lineRule="exact"/>
        <w:jc w:val="left"/>
        <w:rPr>
          <w:rFonts w:hint="default" w:ascii="Times New Roman" w:hAnsi="Times New Roman"/>
          <w:sz w:val="21"/>
          <w:szCs w:val="21"/>
        </w:rPr>
      </w:pPr>
      <w:r>
        <w:rPr>
          <w:sz w:val="21"/>
          <w:szCs w:val="21"/>
        </w:rPr>
        <mc:AlternateContent>
          <mc:Choice Requires="wpg">
            <w:drawing>
              <wp:anchor distT="0" distB="0" distL="114300" distR="114300" simplePos="0" relativeHeight="251658240" behindDoc="0" locked="0" layoutInCell="1" allowOverlap="1">
                <wp:simplePos x="0" y="0"/>
                <wp:positionH relativeFrom="column">
                  <wp:posOffset>3512820</wp:posOffset>
                </wp:positionH>
                <wp:positionV relativeFrom="paragraph">
                  <wp:posOffset>107950</wp:posOffset>
                </wp:positionV>
                <wp:extent cx="2670175" cy="1378585"/>
                <wp:effectExtent l="0" t="0" r="0" b="12065"/>
                <wp:wrapNone/>
                <wp:docPr id="15" name="组合 15"/>
                <wp:cNvGraphicFramePr/>
                <a:graphic xmlns:a="http://schemas.openxmlformats.org/drawingml/2006/main">
                  <a:graphicData uri="http://schemas.microsoft.com/office/word/2010/wordprocessingGroup">
                    <wpg:wgp>
                      <wpg:cNvGrpSpPr/>
                      <wpg:grpSpPr>
                        <a:xfrm>
                          <a:off x="0" y="0"/>
                          <a:ext cx="2670175" cy="1378585"/>
                          <a:chOff x="7766" y="3100"/>
                          <a:chExt cx="3245" cy="1707"/>
                        </a:xfrm>
                        <a:effectLst/>
                      </wpg:grpSpPr>
                      <wps:wsp>
                        <wps:cNvPr id="11" name="文本框 11"/>
                        <wps:cNvSpPr txBox="1"/>
                        <wps:spPr>
                          <a:xfrm>
                            <a:off x="9947" y="3287"/>
                            <a:ext cx="530" cy="649"/>
                          </a:xfrm>
                          <a:prstGeom prst="rect">
                            <a:avLst/>
                          </a:prstGeom>
                          <a:solidFill>
                            <a:srgbClr val="FFFFFF"/>
                          </a:solidFill>
                          <a:ln w="6350">
                            <a:noFill/>
                          </a:ln>
                          <a:effectLst/>
                        </wps:spPr>
                        <wps:txbx>
                          <w:txbxContent>
                            <w:p>
                              <w:pPr>
                                <w:rPr>
                                  <w:color w:val="FFFFFF"/>
                                </w:rPr>
                              </w:pPr>
                              <w:r>
                                <w:rPr>
                                  <w:color w:val="FFFFFF"/>
                                </w:rPr>
                                <w:drawing>
                                  <wp:inline distT="0" distB="0" distL="114300" distR="114300">
                                    <wp:extent cx="236855" cy="274955"/>
                                    <wp:effectExtent l="0" t="0" r="10795" b="1079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a:stretch>
                                              <a:fillRect/>
                                            </a:stretch>
                                          </pic:blipFill>
                                          <pic:spPr>
                                            <a:xfrm>
                                              <a:off x="0" y="0"/>
                                              <a:ext cx="236855" cy="2749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2" name="文本框 12"/>
                        <wps:cNvSpPr txBox="1"/>
                        <wps:spPr>
                          <a:xfrm>
                            <a:off x="9930" y="3896"/>
                            <a:ext cx="530" cy="649"/>
                          </a:xfrm>
                          <a:prstGeom prst="rect">
                            <a:avLst/>
                          </a:prstGeom>
                          <a:solidFill>
                            <a:srgbClr val="FFFFFF">
                              <a:alpha val="0"/>
                            </a:srgbClr>
                          </a:solidFill>
                          <a:ln w="6350">
                            <a:noFill/>
                          </a:ln>
                          <a:effectLst/>
                        </wps:spPr>
                        <wps:txbx>
                          <w:txbxContent>
                            <w:p>
                              <w:pPr>
                                <w:rPr>
                                  <w:color w:val="FFFFFF"/>
                                </w:rPr>
                              </w:pPr>
                              <w:r>
                                <w:rPr>
                                  <w:color w:val="FFFFFF"/>
                                </w:rPr>
                                <w:drawing>
                                  <wp:inline distT="0" distB="0" distL="114300" distR="114300">
                                    <wp:extent cx="236855" cy="274955"/>
                                    <wp:effectExtent l="0" t="0" r="10795" b="10795"/>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6"/>
                                            <a:stretch>
                                              <a:fillRect/>
                                            </a:stretch>
                                          </pic:blipFill>
                                          <pic:spPr>
                                            <a:xfrm>
                                              <a:off x="0" y="0"/>
                                              <a:ext cx="236855" cy="2749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7" name="文本框 4"/>
                        <wps:cNvSpPr txBox="1"/>
                        <wps:spPr>
                          <a:xfrm>
                            <a:off x="7766" y="3100"/>
                            <a:ext cx="1774" cy="1707"/>
                          </a:xfrm>
                          <a:prstGeom prst="rect">
                            <a:avLst/>
                          </a:prstGeom>
                          <a:solidFill>
                            <a:srgbClr val="FFFFFF"/>
                          </a:solidFill>
                          <a:ln w="6350">
                            <a:noFill/>
                          </a:ln>
                          <a:effectLst/>
                        </wps:spPr>
                        <wps:txbx>
                          <w:txbxContent>
                            <w:p>
                              <w:pPr>
                                <w:rPr>
                                  <w:rFonts w:hint="eastAsia" w:eastAsia="宋体"/>
                                  <w:lang w:eastAsia="zh-CN"/>
                                </w:rPr>
                              </w:pPr>
                              <w:r>
                                <w:drawing>
                                  <wp:inline distT="0" distB="0" distL="114300" distR="114300">
                                    <wp:extent cx="1068070" cy="994410"/>
                                    <wp:effectExtent l="0" t="0" r="17780" b="15240"/>
                                    <wp:docPr id="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pic:cNvPicPr>
                                              <a:picLocks noChangeAspect="1"/>
                                            </pic:cNvPicPr>
                                          </pic:nvPicPr>
                                          <pic:blipFill>
                                            <a:blip r:embed="rId7"/>
                                            <a:stretch>
                                              <a:fillRect/>
                                            </a:stretch>
                                          </pic:blipFill>
                                          <pic:spPr>
                                            <a:xfrm>
                                              <a:off x="0" y="0"/>
                                              <a:ext cx="1068070" cy="99441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8" name="文本框 6"/>
                        <wps:cNvSpPr txBox="1"/>
                        <wps:spPr>
                          <a:xfrm>
                            <a:off x="9441" y="3107"/>
                            <a:ext cx="1570" cy="1638"/>
                          </a:xfrm>
                          <a:prstGeom prst="rect">
                            <a:avLst/>
                          </a:prstGeom>
                          <a:noFill/>
                          <a:ln w="6350">
                            <a:noFill/>
                          </a:ln>
                          <a:effectLst/>
                        </wps:spPr>
                        <wps:txbx>
                          <w:txbxContent>
                            <w:p>
                              <w:pPr>
                                <w:jc w:val="center"/>
                                <w:rPr>
                                  <w:rFonts w:hint="eastAsia"/>
                                  <w:sz w:val="18"/>
                                  <w:szCs w:val="18"/>
                                  <w:lang w:eastAsia="zh-CN"/>
                                </w:rPr>
                              </w:pPr>
                              <w:r>
                                <w:rPr>
                                  <w:rFonts w:hint="eastAsia"/>
                                  <w:sz w:val="18"/>
                                  <w:szCs w:val="18"/>
                                  <w:lang w:eastAsia="zh-CN"/>
                                </w:rPr>
                                <w:t>扫码关注</w:t>
                              </w:r>
                            </w:p>
                            <w:p>
                              <w:pPr>
                                <w:pStyle w:val="2"/>
                                <w:rPr>
                                  <w:rFonts w:hint="eastAsia" w:eastAsia="宋体"/>
                                  <w:lang w:eastAsia="zh-CN"/>
                                </w:rPr>
                              </w:pPr>
                            </w:p>
                            <w:p>
                              <w:pPr>
                                <w:jc w:val="center"/>
                                <w:rPr>
                                  <w:rFonts w:hint="eastAsia"/>
                                  <w:sz w:val="18"/>
                                  <w:szCs w:val="18"/>
                                  <w:lang w:eastAsia="zh-CN"/>
                                </w:rPr>
                              </w:pPr>
                              <w:r>
                                <w:rPr>
                                  <w:rFonts w:hint="eastAsia"/>
                                  <w:sz w:val="18"/>
                                  <w:szCs w:val="18"/>
                                  <w:lang w:eastAsia="zh-CN"/>
                                </w:rPr>
                                <w:t>点击资料下载</w:t>
                              </w:r>
                            </w:p>
                            <w:p>
                              <w:pPr>
                                <w:pStyle w:val="2"/>
                                <w:rPr>
                                  <w:rFonts w:hint="eastAsia"/>
                                  <w:lang w:eastAsia="zh-CN"/>
                                </w:rPr>
                              </w:pPr>
                            </w:p>
                            <w:p>
                              <w:pPr>
                                <w:jc w:val="both"/>
                                <w:rPr>
                                  <w:rFonts w:hint="eastAsia"/>
                                  <w:sz w:val="18"/>
                                  <w:szCs w:val="18"/>
                                  <w:lang w:eastAsia="zh-CN"/>
                                </w:rPr>
                              </w:pPr>
                            </w:p>
                            <w:p>
                              <w:pPr>
                                <w:jc w:val="both"/>
                                <w:rPr>
                                  <w:rFonts w:hint="eastAsia" w:eastAsia="宋体"/>
                                  <w:sz w:val="18"/>
                                  <w:szCs w:val="18"/>
                                  <w:lang w:val="en-US" w:eastAsia="zh-CN"/>
                                </w:rPr>
                              </w:pPr>
                              <w:r>
                                <w:rPr>
                                  <w:rFonts w:hint="eastAsia"/>
                                  <w:sz w:val="18"/>
                                  <w:szCs w:val="18"/>
                                  <w:lang w:eastAsia="zh-CN"/>
                                </w:rPr>
                                <w:t>获取各科目完整版</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276.6pt;margin-top:8.5pt;height:108.55pt;width:210.25pt;z-index:251658240;mso-width-relative:page;mso-height-relative:page;" coordorigin="7766,3100" coordsize="3245,1707" o:gfxdata="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">
                <o:lock v:ext="edit" aspectratio="f"/>
                <v:shape id="_x0000_s1026" o:spid="_x0000_s1026" o:spt="202" type="#_x0000_t202" style="position:absolute;left:9947;top:3287;height:649;width:530;" fillcolor="#FFFFFF" filled="t" stroked="f" coordsize="21600,21600" o:gfxdata="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AU/A8ttAAAANsAAAAPAAAA&#10;AAAAAAEAIAAAACIAAABkcnMvZG93bnJldi54bWxQSwECFAAUAAAACACHTuJAMy8FnjsAAAA5AAAA&#10;EAAAAAAAAAABACAAAAADAQAAZHJzL3NoYXBleG1sLnhtbFBLBQYAAAAABgAGAFsBAACtAwAAAAA=&#10;">
                  <v:fill on="t" focussize="0,0"/>
                  <v:stroke on="f" weight="0.5pt"/>
                  <v:imagedata o:title=""/>
                  <o:lock v:ext="edit" aspectratio="f"/>
                  <v:textbox>
                    <w:txbxContent>
                      <w:p>
                        <w:pPr>
                          <w:rPr>
                            <w:color w:val="FFFFFF"/>
                          </w:rPr>
                        </w:pPr>
                        <w:r>
                          <w:rPr>
                            <w:color w:val="FFFFFF"/>
                          </w:rPr>
                          <w:drawing>
                            <wp:inline distT="0" distB="0" distL="114300" distR="114300">
                              <wp:extent cx="236855" cy="274955"/>
                              <wp:effectExtent l="0" t="0" r="10795" b="1079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a:stretch>
                                        <a:fillRect/>
                                      </a:stretch>
                                    </pic:blipFill>
                                    <pic:spPr>
                                      <a:xfrm>
                                        <a:off x="0" y="0"/>
                                        <a:ext cx="236855" cy="274955"/>
                                      </a:xfrm>
                                      <a:prstGeom prst="rect">
                                        <a:avLst/>
                                      </a:prstGeom>
                                      <a:noFill/>
                                      <a:ln>
                                        <a:noFill/>
                                      </a:ln>
                                    </pic:spPr>
                                  </pic:pic>
                                </a:graphicData>
                              </a:graphic>
                            </wp:inline>
                          </w:drawing>
                        </w:r>
                      </w:p>
                    </w:txbxContent>
                  </v:textbox>
                </v:shape>
                <v:shape id="_x0000_s1026" o:spid="_x0000_s1026" o:spt="202" type="#_x0000_t202" style="position:absolute;left:9930;top:3896;height:649;width:530;" fillcolor="#FFFFFF" filled="t" stroked="f" coordsize="21600,21600" o:gfxdata="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i2M/rsAAADb&#10;AAAADwAAAAAAAAABACAAAAAiAAAAZHJzL2Rvd25yZXYueG1sUEsBAhQAFAAAAAgAh07iQDMvBZ47&#10;AAAAOQAAABAAAAAAAAAAAQAgAAAACgEAAGRycy9zaGFwZXhtbC54bWxQSwUGAAAAAAYABgBbAQAA&#10;tAMAAAAA&#10;">
                  <v:fill on="t" opacity="0f" focussize="0,0"/>
                  <v:stroke on="f" weight="0.5pt"/>
                  <v:imagedata o:title=""/>
                  <o:lock v:ext="edit" aspectratio="f"/>
                  <v:textbox>
                    <w:txbxContent>
                      <w:p>
                        <w:pPr>
                          <w:rPr>
                            <w:color w:val="FFFFFF"/>
                          </w:rPr>
                        </w:pPr>
                        <w:r>
                          <w:rPr>
                            <w:color w:val="FFFFFF"/>
                          </w:rPr>
                          <w:drawing>
                            <wp:inline distT="0" distB="0" distL="114300" distR="114300">
                              <wp:extent cx="236855" cy="274955"/>
                              <wp:effectExtent l="0" t="0" r="10795" b="10795"/>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6"/>
                                      <a:stretch>
                                        <a:fillRect/>
                                      </a:stretch>
                                    </pic:blipFill>
                                    <pic:spPr>
                                      <a:xfrm>
                                        <a:off x="0" y="0"/>
                                        <a:ext cx="236855" cy="274955"/>
                                      </a:xfrm>
                                      <a:prstGeom prst="rect">
                                        <a:avLst/>
                                      </a:prstGeom>
                                      <a:noFill/>
                                      <a:ln>
                                        <a:noFill/>
                                      </a:ln>
                                    </pic:spPr>
                                  </pic:pic>
                                </a:graphicData>
                              </a:graphic>
                            </wp:inline>
                          </w:drawing>
                        </w:r>
                      </w:p>
                    </w:txbxContent>
                  </v:textbox>
                </v:shape>
                <v:shape id="文本框 4" o:spid="_x0000_s1026" o:spt="202" type="#_x0000_t202" style="position:absolute;left:7766;top:3100;height:1707;width:1774;" fillcolor="#FFFFFF" filled="t" stroked="f" coordsize="21600,21600" o:gfxdata="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JkcwQtwAAANoAAAAP&#10;AAAAAAAAAAEAIAAAACIAAABkcnMvZG93bnJldi54bWxQSwECFAAUAAAACACHTuJAMy8FnjsAAAA5&#10;AAAAEAAAAAAAAAABACAAAAAGAQAAZHJzL3NoYXBleG1sLnhtbFBLBQYAAAAABgAGAFsBAACwAwAA&#10;AAA=&#10;">
                  <v:fill on="t" focussize="0,0"/>
                  <v:stroke on="f" weight="0.5pt"/>
                  <v:imagedata o:title=""/>
                  <o:lock v:ext="edit" aspectratio="f"/>
                  <v:textbox>
                    <w:txbxContent>
                      <w:p>
                        <w:pPr>
                          <w:rPr>
                            <w:rFonts w:hint="eastAsia" w:eastAsia="宋体"/>
                            <w:lang w:eastAsia="zh-CN"/>
                          </w:rPr>
                        </w:pPr>
                        <w:r>
                          <w:drawing>
                            <wp:inline distT="0" distB="0" distL="114300" distR="114300">
                              <wp:extent cx="1068070" cy="994410"/>
                              <wp:effectExtent l="0" t="0" r="17780" b="15240"/>
                              <wp:docPr id="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pic:cNvPicPr>
                                        <a:picLocks noChangeAspect="1"/>
                                      </pic:cNvPicPr>
                                    </pic:nvPicPr>
                                    <pic:blipFill>
                                      <a:blip r:embed="rId7"/>
                                      <a:stretch>
                                        <a:fillRect/>
                                      </a:stretch>
                                    </pic:blipFill>
                                    <pic:spPr>
                                      <a:xfrm>
                                        <a:off x="0" y="0"/>
                                        <a:ext cx="1068070" cy="994410"/>
                                      </a:xfrm>
                                      <a:prstGeom prst="rect">
                                        <a:avLst/>
                                      </a:prstGeom>
                                      <a:noFill/>
                                      <a:ln>
                                        <a:noFill/>
                                      </a:ln>
                                    </pic:spPr>
                                  </pic:pic>
                                </a:graphicData>
                              </a:graphic>
                            </wp:inline>
                          </w:drawing>
                        </w:r>
                      </w:p>
                    </w:txbxContent>
                  </v:textbox>
                </v:shape>
                <v:shape id="文本框 6" o:spid="_x0000_s1026" o:spt="202" type="#_x0000_t202" style="position:absolute;left:9441;top:3107;height:1638;width:1570;" filled="f" stroked="f" coordsize="21600,21600" o:gfxdata="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SSIaCtwAAANoAAAAP&#10;AAAAAAAAAAEAIAAAACIAAABkcnMvZG93bnJldi54bWxQSwECFAAUAAAACACHTuJAMy8FnjsAAAA5&#10;AAAAEAAAAAAAAAABACAAAAAGAQAAZHJzL3NoYXBleG1sLnhtbFBLBQYAAAAABgAGAFsBAACwAwAA&#10;AAA=&#10;">
                  <v:fill on="f" focussize="0,0"/>
                  <v:stroke on="f" weight="0.5pt"/>
                  <v:imagedata o:title=""/>
                  <o:lock v:ext="edit" aspectratio="f"/>
                  <v:textbox>
                    <w:txbxContent>
                      <w:p>
                        <w:pPr>
                          <w:jc w:val="center"/>
                          <w:rPr>
                            <w:rFonts w:hint="eastAsia"/>
                            <w:sz w:val="18"/>
                            <w:szCs w:val="18"/>
                            <w:lang w:eastAsia="zh-CN"/>
                          </w:rPr>
                        </w:pPr>
                        <w:r>
                          <w:rPr>
                            <w:rFonts w:hint="eastAsia"/>
                            <w:sz w:val="18"/>
                            <w:szCs w:val="18"/>
                            <w:lang w:eastAsia="zh-CN"/>
                          </w:rPr>
                          <w:t>扫码关注</w:t>
                        </w:r>
                      </w:p>
                      <w:p>
                        <w:pPr>
                          <w:pStyle w:val="2"/>
                          <w:rPr>
                            <w:rFonts w:hint="eastAsia" w:eastAsia="宋体"/>
                            <w:lang w:eastAsia="zh-CN"/>
                          </w:rPr>
                        </w:pPr>
                      </w:p>
                      <w:p>
                        <w:pPr>
                          <w:jc w:val="center"/>
                          <w:rPr>
                            <w:rFonts w:hint="eastAsia"/>
                            <w:sz w:val="18"/>
                            <w:szCs w:val="18"/>
                            <w:lang w:eastAsia="zh-CN"/>
                          </w:rPr>
                        </w:pPr>
                        <w:r>
                          <w:rPr>
                            <w:rFonts w:hint="eastAsia"/>
                            <w:sz w:val="18"/>
                            <w:szCs w:val="18"/>
                            <w:lang w:eastAsia="zh-CN"/>
                          </w:rPr>
                          <w:t>点击资料下载</w:t>
                        </w:r>
                      </w:p>
                      <w:p>
                        <w:pPr>
                          <w:pStyle w:val="2"/>
                          <w:rPr>
                            <w:rFonts w:hint="eastAsia"/>
                            <w:lang w:eastAsia="zh-CN"/>
                          </w:rPr>
                        </w:pPr>
                      </w:p>
                      <w:p>
                        <w:pPr>
                          <w:jc w:val="both"/>
                          <w:rPr>
                            <w:rFonts w:hint="eastAsia"/>
                            <w:sz w:val="18"/>
                            <w:szCs w:val="18"/>
                            <w:lang w:eastAsia="zh-CN"/>
                          </w:rPr>
                        </w:pPr>
                      </w:p>
                      <w:p>
                        <w:pPr>
                          <w:jc w:val="both"/>
                          <w:rPr>
                            <w:rFonts w:hint="eastAsia" w:eastAsia="宋体"/>
                            <w:sz w:val="18"/>
                            <w:szCs w:val="18"/>
                            <w:lang w:val="en-US" w:eastAsia="zh-CN"/>
                          </w:rPr>
                        </w:pPr>
                        <w:r>
                          <w:rPr>
                            <w:rFonts w:hint="eastAsia"/>
                            <w:sz w:val="18"/>
                            <w:szCs w:val="18"/>
                            <w:lang w:eastAsia="zh-CN"/>
                          </w:rPr>
                          <w:t>获取各科目完整版</w:t>
                        </w:r>
                      </w:p>
                    </w:txbxContent>
                  </v:textbox>
                </v:shape>
              </v:group>
            </w:pict>
          </mc:Fallback>
        </mc:AlternateContent>
      </w:r>
      <w:r>
        <w:rPr>
          <w:rFonts w:hint="eastAsia" w:ascii="楷体_GB2312" w:hAnsi="Times New Roman" w:eastAsia="楷体_GB2312"/>
          <w:color w:val="000000"/>
          <w:sz w:val="21"/>
          <w:szCs w:val="21"/>
          <w:lang w:eastAsia="zh-CN"/>
        </w:rPr>
        <w:t>百典教育</w:t>
      </w:r>
      <w:r>
        <w:rPr>
          <w:rFonts w:hint="eastAsia" w:ascii="楷体_GB2312" w:hAnsi="Times New Roman" w:eastAsia="楷体_GB2312"/>
          <w:color w:val="000000"/>
          <w:sz w:val="21"/>
          <w:szCs w:val="21"/>
        </w:rPr>
        <w:t>提供的</w:t>
      </w:r>
      <w:r>
        <w:rPr>
          <w:rFonts w:hint="eastAsia" w:ascii="楷体_GB2312" w:hAnsi="Times New Roman" w:eastAsia="楷体_GB2312"/>
          <w:color w:val="000000"/>
          <w:sz w:val="21"/>
          <w:szCs w:val="21"/>
          <w:lang w:eastAsia="zh-CN"/>
        </w:rPr>
        <w:t>百点</w:t>
      </w:r>
      <w:r>
        <w:rPr>
          <w:rFonts w:hint="eastAsia" w:ascii="楷体_GB2312" w:hAnsi="Times New Roman" w:eastAsia="楷体_GB2312"/>
          <w:color w:val="000000"/>
          <w:sz w:val="21"/>
          <w:szCs w:val="21"/>
        </w:rPr>
        <w:t>通主要内容来自：</w:t>
      </w:r>
    </w:p>
    <w:p>
      <w:pPr>
        <w:numPr>
          <w:ilvl w:val="0"/>
          <w:numId w:val="1"/>
        </w:numPr>
        <w:autoSpaceDE/>
        <w:autoSpaceDN/>
        <w:adjustRightInd/>
        <w:spacing w:before="80" w:beforeLines="0" w:afterLines="0" w:line="240" w:lineRule="auto"/>
        <w:jc w:val="left"/>
        <w:rPr>
          <w:rFonts w:hint="eastAsia" w:ascii="Times New Roman" w:hAnsi="Times New Roman" w:eastAsia="楷体_GB2312"/>
          <w:sz w:val="21"/>
          <w:szCs w:val="21"/>
          <w:lang w:eastAsia="zh-CN"/>
        </w:rPr>
      </w:pPr>
      <w:r>
        <w:rPr>
          <w:rFonts w:hint="eastAsia" w:ascii="楷体_GB2312" w:hAnsi="Times New Roman" w:eastAsia="楷体_GB2312"/>
          <w:color w:val="000000"/>
          <w:sz w:val="21"/>
          <w:szCs w:val="21"/>
        </w:rPr>
        <w:t>研究高频率考点，推测本年度考试热点；</w:t>
      </w:r>
    </w:p>
    <w:p>
      <w:pPr>
        <w:autoSpaceDE/>
        <w:autoSpaceDN/>
        <w:adjustRightInd/>
        <w:spacing w:before="60" w:beforeLines="0" w:afterLines="0" w:line="240" w:lineRule="auto"/>
        <w:jc w:val="left"/>
        <w:rPr>
          <w:rFonts w:hint="eastAsia" w:ascii="Times New Roman" w:hAnsi="Times New Roman" w:eastAsia="楷体_GB2312"/>
          <w:sz w:val="21"/>
          <w:szCs w:val="21"/>
          <w:lang w:val="en-US" w:eastAsia="zh-CN"/>
        </w:rPr>
      </w:pPr>
      <w:r>
        <w:rPr>
          <w:rFonts w:hint="eastAsia" w:ascii="楷体_GB2312" w:hAnsi="Times New Roman" w:eastAsia="楷体_GB2312"/>
          <w:color w:val="000000"/>
          <w:sz w:val="21"/>
          <w:szCs w:val="21"/>
        </w:rPr>
        <w:t>2.分析考试大纲，比对教材，预判考试重点；</w:t>
      </w:r>
    </w:p>
    <w:p>
      <w:pPr>
        <w:autoSpaceDE/>
        <w:autoSpaceDN/>
        <w:adjustRightInd/>
        <w:spacing w:before="80" w:beforeLines="0" w:afterLines="0" w:line="240" w:lineRule="exact"/>
        <w:jc w:val="left"/>
        <w:rPr>
          <w:rFonts w:hint="default" w:ascii="Times New Roman" w:hAnsi="Times New Roman"/>
          <w:sz w:val="21"/>
          <w:szCs w:val="21"/>
        </w:rPr>
      </w:pPr>
      <w:r>
        <w:rPr>
          <w:rFonts w:hint="eastAsia" w:ascii="楷体_GB2312" w:hAnsi="Times New Roman" w:eastAsia="楷体_GB2312"/>
          <w:color w:val="000000"/>
          <w:sz w:val="21"/>
          <w:szCs w:val="21"/>
        </w:rPr>
        <w:t>3.特殊渠道搜集整理；</w:t>
      </w:r>
    </w:p>
    <w:p>
      <w:pPr>
        <w:autoSpaceDE/>
        <w:autoSpaceDN/>
        <w:adjustRightInd/>
        <w:spacing w:before="80" w:beforeLines="0" w:afterLines="0" w:line="240" w:lineRule="exact"/>
        <w:jc w:val="left"/>
        <w:rPr>
          <w:rFonts w:hint="eastAsia" w:ascii="楷体_GB2312" w:hAnsi="Times New Roman" w:eastAsia="楷体_GB2312"/>
          <w:color w:val="000000"/>
          <w:sz w:val="21"/>
          <w:szCs w:val="21"/>
          <w:vertAlign w:val="subscript"/>
        </w:rPr>
      </w:pPr>
      <w:r>
        <w:rPr>
          <w:rFonts w:hint="eastAsia" w:ascii="楷体_GB2312" w:hAnsi="Times New Roman" w:eastAsia="楷体_GB2312"/>
          <w:color w:val="000000"/>
          <w:sz w:val="21"/>
          <w:szCs w:val="21"/>
        </w:rPr>
        <w:t>4.讲课老师押题信息汇总。</w:t>
      </w:r>
    </w:p>
    <w:p>
      <w:pPr>
        <w:pStyle w:val="6"/>
        <w:ind w:left="0" w:leftChars="0" w:firstLine="0" w:firstLineChars="0"/>
        <w:rPr>
          <w:rFonts w:hint="eastAsia"/>
          <w:sz w:val="21"/>
          <w:szCs w:val="21"/>
        </w:rPr>
      </w:pPr>
    </w:p>
    <w:p>
      <w:pPr>
        <w:pStyle w:val="6"/>
        <w:numPr>
          <w:ilvl w:val="0"/>
          <w:numId w:val="0"/>
        </w:numPr>
        <w:ind w:leftChars="0"/>
        <w:rPr>
          <w:rFonts w:hint="eastAsia"/>
          <w:sz w:val="21"/>
          <w:szCs w:val="21"/>
        </w:rPr>
      </w:pPr>
      <w:r>
        <w:rPr>
          <w:rFonts w:hint="eastAsia"/>
          <w:sz w:val="21"/>
          <w:szCs w:val="21"/>
        </w:rPr>
        <w:t>[P</w:t>
      </w:r>
      <w:r>
        <w:rPr>
          <w:rFonts w:hint="eastAsia"/>
          <w:sz w:val="21"/>
          <w:szCs w:val="21"/>
          <w:lang w:val="en-US" w:eastAsia="zh-CN"/>
        </w:rPr>
        <w:t>1</w:t>
      </w:r>
      <w:r>
        <w:rPr>
          <w:rFonts w:hint="eastAsia"/>
          <w:sz w:val="21"/>
          <w:szCs w:val="21"/>
        </w:rPr>
        <w:t>]民用建筑按地上高度和层数分类如下:(1)单层或多层民用建筑: 建筑高度不大于 27.0m 的住宅建筑:建筑高度不大于 24.0m 的公共建筑:建筑高度大于 24.0m 的单层公共建筑: (2)高层民用建筑:建筑高度大于 27.0m 且不大于 100m 的住宅建筑: 建筑高度大于 24.0m 且不大于 100.0m 的非单层公共建筑:(3)超高层建筑: 建筑高度大于 100m 的民用建筑。[易考单选，区分记忆]</w:t>
      </w:r>
    </w:p>
    <w:p>
      <w:pPr>
        <w:pStyle w:val="6"/>
        <w:numPr>
          <w:ilvl w:val="0"/>
          <w:numId w:val="0"/>
        </w:numPr>
        <w:ind w:leftChars="0"/>
        <w:rPr>
          <w:rFonts w:hint="eastAsia"/>
          <w:sz w:val="21"/>
          <w:szCs w:val="21"/>
        </w:rPr>
      </w:pPr>
      <w:r>
        <w:rPr>
          <w:rFonts w:hint="eastAsia"/>
          <w:sz w:val="21"/>
          <w:szCs w:val="21"/>
        </w:rPr>
        <w:t>[P8]抗震设防类别:甲类:特殊设防类，需要进行特殊设防的建筑与市政工程:乙类:重点设防类，需要提高设防标准的建筑与市政程:</w:t>
      </w:r>
      <w:r>
        <w:rPr>
          <w:rFonts w:hint="eastAsia"/>
          <w:sz w:val="21"/>
          <w:szCs w:val="21"/>
          <w:lang w:eastAsia="zh-CN"/>
        </w:rPr>
        <w:t>丙</w:t>
      </w:r>
      <w:r>
        <w:rPr>
          <w:rFonts w:hint="eastAsia"/>
          <w:sz w:val="21"/>
          <w:szCs w:val="21"/>
        </w:rPr>
        <w:t>类: 标准设防类，按标准要求进行设防的建筑与市政工程:丁类:适度设防类，允许在一定条件下适度降低设防要求的建筑与市政工程。[选择，必考点]</w:t>
      </w:r>
    </w:p>
    <w:p>
      <w:pPr>
        <w:pStyle w:val="6"/>
        <w:numPr>
          <w:ilvl w:val="0"/>
          <w:numId w:val="0"/>
        </w:numPr>
        <w:ind w:leftChars="0"/>
        <w:rPr>
          <w:rFonts w:hint="eastAsia"/>
          <w:sz w:val="21"/>
          <w:szCs w:val="21"/>
        </w:rPr>
      </w:pPr>
      <w:r>
        <w:rPr>
          <w:rFonts w:hint="eastAsia"/>
          <w:sz w:val="21"/>
          <w:szCs w:val="21"/>
        </w:rPr>
        <w:t>[ P8 ]框架结构震害严重部位:多发生在梁柱节点和填充墙处:一般是柱的震害重于梁，柱顶的震害重于柱底</w:t>
      </w:r>
      <w:r>
        <w:rPr>
          <w:rFonts w:hint="eastAsia"/>
          <w:sz w:val="21"/>
          <w:szCs w:val="21"/>
          <w:lang w:eastAsia="zh-CN"/>
        </w:rPr>
        <w:t>，</w:t>
      </w:r>
      <w:r>
        <w:rPr>
          <w:rFonts w:hint="eastAsia"/>
          <w:sz w:val="21"/>
          <w:szCs w:val="21"/>
        </w:rPr>
        <w:t>角柱的震害重于内柱，短柱的震害重于一般柱。[易考多选]</w:t>
      </w:r>
    </w:p>
    <w:p>
      <w:pPr>
        <w:pStyle w:val="6"/>
        <w:numPr>
          <w:ilvl w:val="0"/>
          <w:numId w:val="0"/>
        </w:numPr>
        <w:ind w:leftChars="0"/>
        <w:rPr>
          <w:rFonts w:hint="eastAsia"/>
          <w:sz w:val="21"/>
          <w:szCs w:val="21"/>
        </w:rPr>
      </w:pPr>
      <w:r>
        <w:rPr>
          <w:rFonts w:hint="eastAsia"/>
          <w:sz w:val="21"/>
          <w:szCs w:val="21"/>
        </w:rPr>
        <w:t>[P13 ]安全性是指在正常施工和正常使用的条件下，结构应能承受可能出现的各种荷载作用和变形面不发生破坏;在偶然事件发生后，结构仍能保持必要的整体稳定性。例如，厂房结构平时受自重、吊车、风和积雪等荷载作用时，均应坚固不坏，而在遇到强烈地震、爆炸等偶然事件时，容许有局部的损伤。但应保持结构的整体稳定而不发生倒塌。[易考多选]</w:t>
      </w:r>
    </w:p>
    <w:p>
      <w:pPr>
        <w:pStyle w:val="6"/>
        <w:numPr>
          <w:ilvl w:val="0"/>
          <w:numId w:val="0"/>
        </w:numPr>
        <w:ind w:leftChars="0"/>
        <w:rPr>
          <w:rFonts w:hint="eastAsia"/>
          <w:sz w:val="21"/>
          <w:szCs w:val="21"/>
        </w:rPr>
      </w:pPr>
      <w:r>
        <w:rPr>
          <w:rFonts w:hint="eastAsia"/>
          <w:sz w:val="21"/>
          <w:szCs w:val="21"/>
        </w:rPr>
        <w:t>[P16]混凝土最低强度等级:预应力混凝土楼板结构混凝最低强度等级不应低于 C30.其他预应力混凝土构件的混凝土最低强度等级不应低于 C40: Ca 为引气混凝土。[选择]</w:t>
      </w:r>
    </w:p>
    <w:p>
      <w:pPr>
        <w:pStyle w:val="6"/>
        <w:numPr>
          <w:ilvl w:val="0"/>
          <w:numId w:val="0"/>
        </w:numPr>
        <w:ind w:leftChars="0"/>
        <w:rPr>
          <w:rFonts w:hint="eastAsia"/>
          <w:sz w:val="21"/>
          <w:szCs w:val="21"/>
        </w:rPr>
      </w:pPr>
      <w:r>
        <w:rPr>
          <w:rFonts w:hint="eastAsia"/>
          <w:sz w:val="21"/>
          <w:szCs w:val="21"/>
        </w:rPr>
        <w:t>[ P27]国家标准规定，有较高要求的抗震结构适用的钢筋牌号为:带肋钢筋牌号后加E(例如:HRB400EHRBF400E)。该类钢筋除应满足以下(1)、(2)、(3) 的要求外，其他要求与相对应的已有牌号钢筋相同。(1)钢筋实测抗拉强度与实测下屈服强度之比不小于 1.25: (2)钢筋实测下属服强度与表2A311031 规定的下屈服强度特征值之比不大于 1.30: (3) 钢筋的最大力总伸长率不小于</w:t>
      </w:r>
      <w:r>
        <w:rPr>
          <w:rFonts w:hint="eastAsia"/>
          <w:sz w:val="21"/>
          <w:szCs w:val="21"/>
          <w:lang w:val="en-US" w:eastAsia="zh-CN"/>
        </w:rPr>
        <w:t>9</w:t>
      </w:r>
      <w:r>
        <w:rPr>
          <w:rFonts w:hint="eastAsia"/>
          <w:sz w:val="21"/>
          <w:szCs w:val="21"/>
        </w:rPr>
        <w:t xml:space="preserve"> %。易考多选]</w:t>
      </w:r>
    </w:p>
    <w:p>
      <w:pPr>
        <w:pStyle w:val="6"/>
        <w:ind w:left="0" w:leftChars="0" w:firstLine="0" w:firstLineChars="0"/>
        <w:rPr>
          <w:rFonts w:hint="eastAsia"/>
          <w:sz w:val="21"/>
          <w:szCs w:val="21"/>
        </w:rPr>
      </w:pPr>
      <w:r>
        <w:rPr>
          <w:rFonts w:hint="eastAsia"/>
          <w:sz w:val="21"/>
          <w:szCs w:val="21"/>
        </w:rPr>
        <w:t>[ P27 ]钢材的主要性能包括力学性能和工艺性能。力学性能是最重要的使用性能，包括拉伸性能、冲击性能</w:t>
      </w:r>
      <w:r>
        <w:rPr>
          <w:rFonts w:hint="eastAsia"/>
          <w:sz w:val="21"/>
          <w:szCs w:val="21"/>
          <w:lang w:eastAsia="zh-CN"/>
        </w:rPr>
        <w:t>、</w:t>
      </w:r>
      <w:r>
        <w:rPr>
          <w:rFonts w:hint="eastAsia"/>
          <w:sz w:val="21"/>
          <w:szCs w:val="21"/>
        </w:rPr>
        <w:t>疲劳性能。工艺性能表示钢材在各种加工过程中的行为，包括弯曲性能和焊接性能。[</w:t>
      </w:r>
      <w:r>
        <w:rPr>
          <w:rFonts w:hint="eastAsia"/>
          <w:sz w:val="21"/>
          <w:szCs w:val="21"/>
          <w:lang w:eastAsia="zh-CN"/>
        </w:rPr>
        <w:t>易</w:t>
      </w:r>
      <w:r>
        <w:rPr>
          <w:rFonts w:hint="eastAsia"/>
          <w:sz w:val="21"/>
          <w:szCs w:val="21"/>
        </w:rPr>
        <w:t>考多选，区分</w:t>
      </w:r>
      <w:r>
        <w:rPr>
          <w:rFonts w:hint="eastAsia"/>
          <w:sz w:val="21"/>
          <w:szCs w:val="21"/>
          <w:lang w:eastAsia="zh-CN"/>
        </w:rPr>
        <w:t>力学</w:t>
      </w:r>
      <w:r>
        <w:rPr>
          <w:rFonts w:hint="eastAsia"/>
          <w:sz w:val="21"/>
          <w:szCs w:val="21"/>
        </w:rPr>
        <w:t>性能和工艺性能]</w:t>
      </w:r>
    </w:p>
    <w:p>
      <w:pPr>
        <w:pStyle w:val="6"/>
        <w:numPr>
          <w:ilvl w:val="0"/>
          <w:numId w:val="0"/>
        </w:numPr>
        <w:rPr>
          <w:rFonts w:hint="eastAsia"/>
          <w:sz w:val="21"/>
          <w:szCs w:val="21"/>
        </w:rPr>
      </w:pPr>
      <w:r>
        <w:rPr>
          <w:rFonts w:hint="eastAsia"/>
          <w:sz w:val="21"/>
          <w:szCs w:val="21"/>
        </w:rPr>
        <w:t>[P27]建筑钢材拉伸性能的指标包括屈服强度、抗拉强度和伸长率。其中屈服强度作为钢材设计强度的取值依据。抗拉强度与下屈服强度之比(强屈比 ) 是评价钢材使用可靠性的一个参数。[多选题]</w:t>
      </w:r>
    </w:p>
    <w:p>
      <w:pPr>
        <w:pStyle w:val="6"/>
        <w:numPr>
          <w:ilvl w:val="0"/>
          <w:numId w:val="0"/>
        </w:numPr>
        <w:rPr>
          <w:rFonts w:hint="eastAsia"/>
          <w:sz w:val="21"/>
          <w:szCs w:val="21"/>
        </w:rPr>
      </w:pPr>
      <w:r>
        <w:rPr>
          <w:rFonts w:hint="eastAsia"/>
          <w:sz w:val="21"/>
          <w:szCs w:val="21"/>
        </w:rPr>
        <w:t>[P29 ]影响混凝土拌合物和易性的主要因素包括单位体积用水量、砂率、组成材料的性质、时间和温度等。单位体积用水量决定水泥浆的数量和稠度，它是影响混凝土和易性的最主要因素。[易</w:t>
      </w:r>
      <w:r>
        <w:rPr>
          <w:rFonts w:hint="eastAsia"/>
          <w:sz w:val="21"/>
          <w:szCs w:val="21"/>
          <w:lang w:eastAsia="zh-CN"/>
        </w:rPr>
        <w:t>考</w:t>
      </w:r>
      <w:r>
        <w:rPr>
          <w:rFonts w:hint="eastAsia"/>
          <w:sz w:val="21"/>
          <w:szCs w:val="21"/>
        </w:rPr>
        <w:t>多选]</w:t>
      </w:r>
    </w:p>
    <w:p>
      <w:pPr>
        <w:pStyle w:val="6"/>
        <w:ind w:left="0" w:leftChars="0" w:firstLine="0" w:firstLineChars="0"/>
        <w:rPr>
          <w:rFonts w:hint="eastAsia"/>
          <w:sz w:val="21"/>
          <w:szCs w:val="21"/>
        </w:rPr>
      </w:pPr>
      <w:r>
        <w:rPr>
          <w:rFonts w:hint="eastAsia"/>
          <w:sz w:val="21"/>
          <w:szCs w:val="21"/>
        </w:rPr>
        <w:t>[ P35]木材的变形在各个方向上不同，顺纹方向最小，径向较大，弦向最大。[易</w:t>
      </w:r>
      <w:r>
        <w:rPr>
          <w:rFonts w:hint="eastAsia"/>
          <w:sz w:val="21"/>
          <w:szCs w:val="21"/>
          <w:lang w:eastAsia="zh-CN"/>
        </w:rPr>
        <w:t>考</w:t>
      </w:r>
      <w:r>
        <w:rPr>
          <w:rFonts w:hint="eastAsia"/>
          <w:sz w:val="21"/>
          <w:szCs w:val="21"/>
        </w:rPr>
        <w:t>单选，</w:t>
      </w:r>
      <w:r>
        <w:rPr>
          <w:rFonts w:hint="eastAsia"/>
          <w:sz w:val="21"/>
          <w:szCs w:val="21"/>
          <w:lang w:eastAsia="zh-CN"/>
        </w:rPr>
        <w:t>注意顺序</w:t>
      </w:r>
      <w:r>
        <w:rPr>
          <w:rFonts w:hint="eastAsia"/>
          <w:sz w:val="21"/>
          <w:szCs w:val="21"/>
        </w:rPr>
        <w:t>]</w:t>
      </w:r>
    </w:p>
    <w:p>
      <w:pPr>
        <w:pStyle w:val="6"/>
        <w:ind w:left="0" w:leftChars="0" w:firstLine="0" w:firstLineChars="0"/>
        <w:rPr>
          <w:rFonts w:hint="eastAsia"/>
          <w:sz w:val="21"/>
          <w:szCs w:val="21"/>
        </w:rPr>
      </w:pPr>
      <w:r>
        <w:rPr>
          <w:rFonts w:hint="eastAsia"/>
          <w:sz w:val="21"/>
          <w:szCs w:val="21"/>
        </w:rPr>
        <w:t>[P45]钢结构防火涂料按火灾防护对象分:普通钢结构防护涂料、特种钢结构防火涂料: 按使用场所分:室内钢结构防火涂料、室外钢结构防火涂料:按分散介质分类:水基性钢结构防火涂料、溶剂性钢结构防火涂料:按防火机理分:膨胀型钢结构防火涂料、非膨胀型钢结构防火涂料。[易考多选]</w:t>
      </w:r>
    </w:p>
    <w:p>
      <w:pPr>
        <w:pStyle w:val="6"/>
        <w:ind w:left="0" w:leftChars="0" w:firstLine="0" w:firstLineChars="0"/>
        <w:rPr>
          <w:rFonts w:hint="eastAsia" w:eastAsia="宋体"/>
          <w:sz w:val="21"/>
          <w:szCs w:val="21"/>
          <w:lang w:eastAsia="zh-CN"/>
        </w:rPr>
      </w:pPr>
      <w:r>
        <w:rPr>
          <w:rFonts w:hint="eastAsia"/>
          <w:sz w:val="21"/>
          <w:szCs w:val="21"/>
          <w:lang w:eastAsia="zh-CN"/>
        </w:rPr>
        <w:t>素</w:t>
      </w:r>
      <w:r>
        <w:rPr>
          <w:rFonts w:hint="eastAsia"/>
          <w:sz w:val="21"/>
          <w:szCs w:val="21"/>
        </w:rPr>
        <w:t>混凝土结构构件的混凝土强度等级不应低于 C20。钢筋混凝结构构件的混凝土强度等级不应低于C25。预应力混凝土楼板结构的混凝土强度等级不应低于 C30，其他预应力混凝结构构件的混凝土强度等级不应低于 C40。钢-混凝土组合结构构件的混凝土强度等级不应低于 C30。[易</w:t>
      </w:r>
      <w:r>
        <w:rPr>
          <w:rFonts w:hint="eastAsia"/>
          <w:sz w:val="21"/>
          <w:szCs w:val="21"/>
          <w:lang w:eastAsia="zh-CN"/>
        </w:rPr>
        <w:t>考单选</w:t>
      </w:r>
      <w:r>
        <w:rPr>
          <w:rFonts w:hint="eastAsia"/>
          <w:sz w:val="21"/>
          <w:szCs w:val="21"/>
        </w:rPr>
        <w:t>]</w:t>
      </w:r>
    </w:p>
    <w:p>
      <w:pPr>
        <w:pStyle w:val="6"/>
        <w:ind w:left="0" w:leftChars="0" w:firstLine="0" w:firstLineChars="0"/>
        <w:rPr>
          <w:rFonts w:hint="eastAsia"/>
          <w:sz w:val="21"/>
          <w:szCs w:val="21"/>
        </w:rPr>
      </w:pPr>
      <w:r>
        <w:rPr>
          <w:rFonts w:hint="eastAsia"/>
          <w:sz w:val="21"/>
          <w:szCs w:val="21"/>
        </w:rPr>
        <w:t>[P</w:t>
      </w:r>
      <w:r>
        <w:rPr>
          <w:rFonts w:hint="eastAsia"/>
          <w:sz w:val="21"/>
          <w:szCs w:val="21"/>
          <w:lang w:val="en-US" w:eastAsia="zh-CN"/>
        </w:rPr>
        <w:t>51</w:t>
      </w:r>
      <w:r>
        <w:rPr>
          <w:rFonts w:hint="eastAsia"/>
          <w:sz w:val="21"/>
          <w:szCs w:val="21"/>
        </w:rPr>
        <w:t xml:space="preserve"> ]</w:t>
      </w:r>
      <w:r>
        <w:rPr>
          <w:rFonts w:hint="eastAsia"/>
          <w:sz w:val="21"/>
          <w:szCs w:val="21"/>
          <w:lang w:eastAsia="zh-CN"/>
        </w:rPr>
        <w:t>土</w:t>
      </w:r>
      <w:r>
        <w:rPr>
          <w:rFonts w:hint="eastAsia"/>
          <w:sz w:val="21"/>
          <w:szCs w:val="21"/>
        </w:rPr>
        <w:t>方工程施工前，应采取有效的地下水控制措施。基坑内地下水位应降至拟开挖下层土方的底面以下不小于 0.5m。明沟、集水井指在基坑的两侧或四周设置排水明沟，在基坑四角或每隔 30m ~ 50m 设置集水井，使基坑渗出的地下水通过排水明沟汇集于集水井内，然后用水泵将其排出基坑外。[易考单选，注点</w:t>
      </w:r>
      <w:r>
        <w:rPr>
          <w:rFonts w:hint="eastAsia"/>
          <w:sz w:val="21"/>
          <w:szCs w:val="21"/>
          <w:lang w:eastAsia="zh-CN"/>
        </w:rPr>
        <w:t>数字</w:t>
      </w:r>
      <w:r>
        <w:rPr>
          <w:rFonts w:hint="eastAsia"/>
          <w:sz w:val="21"/>
          <w:szCs w:val="21"/>
        </w:rPr>
        <w:t>记忆]</w:t>
      </w:r>
    </w:p>
    <w:p>
      <w:pPr>
        <w:pStyle w:val="6"/>
        <w:ind w:left="0" w:leftChars="0" w:firstLine="0" w:firstLineChars="0"/>
        <w:rPr>
          <w:rFonts w:hint="eastAsia"/>
          <w:sz w:val="21"/>
          <w:szCs w:val="21"/>
        </w:rPr>
      </w:pPr>
      <w:r>
        <w:rPr>
          <w:rFonts w:hint="eastAsia"/>
          <w:sz w:val="21"/>
          <w:szCs w:val="21"/>
        </w:rPr>
        <w:t>[ P188 ]施工过程中应采取减少基底土扰动的保护措施，机械挖土时，基底以上 200 - 300mm 厚土层应采用</w:t>
      </w:r>
      <w:r>
        <w:rPr>
          <w:rFonts w:hint="eastAsia"/>
          <w:sz w:val="21"/>
          <w:szCs w:val="21"/>
          <w:lang w:eastAsia="zh-CN"/>
        </w:rPr>
        <w:t>人工</w:t>
      </w:r>
      <w:r>
        <w:rPr>
          <w:rFonts w:hint="eastAsia"/>
          <w:sz w:val="21"/>
          <w:szCs w:val="21"/>
        </w:rPr>
        <w:t>配合挖除。[易考单选]</w:t>
      </w:r>
    </w:p>
    <w:p>
      <w:pPr>
        <w:pStyle w:val="6"/>
        <w:ind w:left="0" w:leftChars="0" w:firstLine="0" w:firstLineChars="0"/>
        <w:rPr>
          <w:rFonts w:hint="eastAsia"/>
          <w:sz w:val="21"/>
          <w:szCs w:val="21"/>
        </w:rPr>
      </w:pPr>
      <w:r>
        <w:rPr>
          <w:rFonts w:hint="eastAsia"/>
          <w:sz w:val="21"/>
          <w:szCs w:val="21"/>
        </w:rPr>
        <w:t>[P51]降水方式有真空(轻型 ) 井点、喷射井点或管井。[易</w:t>
      </w:r>
      <w:r>
        <w:rPr>
          <w:rFonts w:hint="eastAsia"/>
          <w:sz w:val="21"/>
          <w:szCs w:val="21"/>
          <w:lang w:eastAsia="zh-CN"/>
        </w:rPr>
        <w:t>考</w:t>
      </w:r>
      <w:r>
        <w:rPr>
          <w:rFonts w:hint="eastAsia"/>
          <w:sz w:val="21"/>
          <w:szCs w:val="21"/>
        </w:rPr>
        <w:t>多选]</w:t>
      </w:r>
    </w:p>
    <w:p>
      <w:pPr>
        <w:pStyle w:val="6"/>
        <w:numPr>
          <w:ilvl w:val="0"/>
          <w:numId w:val="0"/>
        </w:numPr>
        <w:ind w:leftChars="0"/>
        <w:rPr>
          <w:rFonts w:hint="eastAsia"/>
          <w:sz w:val="21"/>
          <w:szCs w:val="21"/>
        </w:rPr>
      </w:pPr>
      <w:r>
        <w:rPr>
          <w:rFonts w:hint="eastAsia"/>
          <w:sz w:val="21"/>
          <w:szCs w:val="21"/>
        </w:rPr>
        <w:t>[ P57]泥浆护壁法钻孔灌注桩的施工工艺流程 场地平整一位放线一开挖浆池 浆沟一护简埋设一钻机就位孔位校正一成孔、泥浆循环、清除废浆、泥渣一第一次清孔一质量验收一下钢筋笼和钢导管一第二次清孔一浇筑水下混凝土一成桩。[易考案例，考</w:t>
      </w:r>
      <w:r>
        <w:rPr>
          <w:rFonts w:hint="eastAsia"/>
          <w:sz w:val="21"/>
          <w:szCs w:val="21"/>
          <w:lang w:eastAsia="zh-CN"/>
        </w:rPr>
        <w:t>排序</w:t>
      </w:r>
      <w:r>
        <w:rPr>
          <w:rFonts w:hint="eastAsia"/>
          <w:sz w:val="21"/>
          <w:szCs w:val="21"/>
        </w:rPr>
        <w:t>]</w:t>
      </w:r>
    </w:p>
    <w:p>
      <w:pPr>
        <w:pStyle w:val="6"/>
        <w:numPr>
          <w:ilvl w:val="0"/>
          <w:numId w:val="0"/>
        </w:numPr>
        <w:ind w:leftChars="0"/>
        <w:rPr>
          <w:rFonts w:hint="eastAsia"/>
          <w:sz w:val="21"/>
          <w:szCs w:val="21"/>
        </w:rPr>
      </w:pPr>
      <w:r>
        <w:rPr>
          <w:rFonts w:hint="eastAsia"/>
          <w:sz w:val="21"/>
          <w:szCs w:val="21"/>
        </w:rPr>
        <w:t>[ P53 ]验槽在施工单位自检合格的基础上进行。施工单位确认自检合格后提出验收申请:由总监理工程师或建设单位项目负责人组织建设、监理、勘察、设计及施工单位的项目负责人、技术质量负责人，共同按设计要求和有关规定进行。[案例，验槽的</w:t>
      </w:r>
      <w:r>
        <w:rPr>
          <w:rFonts w:hint="eastAsia"/>
          <w:sz w:val="21"/>
          <w:szCs w:val="21"/>
          <w:lang w:eastAsia="zh-CN"/>
        </w:rPr>
        <w:t>程序</w:t>
      </w:r>
      <w:r>
        <w:rPr>
          <w:rFonts w:hint="eastAsia"/>
          <w:sz w:val="21"/>
          <w:szCs w:val="21"/>
        </w:rPr>
        <w:t>]</w:t>
      </w:r>
    </w:p>
    <w:p>
      <w:pPr>
        <w:pStyle w:val="6"/>
        <w:numPr>
          <w:ilvl w:val="0"/>
          <w:numId w:val="0"/>
        </w:numPr>
        <w:ind w:leftChars="0"/>
        <w:rPr>
          <w:rFonts w:hint="eastAsia"/>
          <w:sz w:val="21"/>
          <w:szCs w:val="21"/>
        </w:rPr>
      </w:pPr>
      <w:r>
        <w:rPr>
          <w:rFonts w:hint="eastAsia"/>
          <w:sz w:val="21"/>
          <w:szCs w:val="21"/>
        </w:rPr>
        <w:t>[ P57]大体积混凝土裂缝的控制应降低混凝土的入模温度，控制混凝上内外的温差(当设计无要求时，控制在 25C以内 )。如降低拌合水温度(拌合水中加冰屑或用地下水 )，骨料用水冲洗降温，避免暴晒。[</w:t>
      </w:r>
      <w:r>
        <w:rPr>
          <w:rFonts w:hint="eastAsia"/>
          <w:sz w:val="21"/>
          <w:szCs w:val="21"/>
          <w:lang w:eastAsia="zh-CN"/>
        </w:rPr>
        <w:t>易考</w:t>
      </w:r>
      <w:r>
        <w:rPr>
          <w:rFonts w:hint="eastAsia"/>
          <w:sz w:val="21"/>
          <w:szCs w:val="21"/>
        </w:rPr>
        <w:t>单选，裂缝控制的措施]</w:t>
      </w:r>
    </w:p>
    <w:p>
      <w:pPr>
        <w:pStyle w:val="6"/>
        <w:numPr>
          <w:ilvl w:val="0"/>
          <w:numId w:val="0"/>
        </w:numPr>
        <w:ind w:leftChars="0"/>
        <w:rPr>
          <w:rFonts w:hint="eastAsia"/>
          <w:sz w:val="21"/>
          <w:szCs w:val="21"/>
        </w:rPr>
      </w:pPr>
      <w:r>
        <w:rPr>
          <w:rFonts w:hint="eastAsia"/>
          <w:sz w:val="21"/>
          <w:szCs w:val="21"/>
        </w:rPr>
        <w:t>[ P6</w:t>
      </w:r>
      <w:r>
        <w:rPr>
          <w:rFonts w:hint="eastAsia"/>
          <w:sz w:val="21"/>
          <w:szCs w:val="21"/>
          <w:lang w:val="en-US" w:eastAsia="zh-CN"/>
        </w:rPr>
        <w:t>1</w:t>
      </w:r>
      <w:r>
        <w:rPr>
          <w:rFonts w:hint="eastAsia"/>
          <w:sz w:val="21"/>
          <w:szCs w:val="21"/>
        </w:rPr>
        <w:t>]对跨度不小于 4m 的现浇钢筋混凝土梁、板，其模板应按设计要求起拱:当设计无具体要求时，起拱高度宜为跨度的 1/1000 ~ 3/1000。起拱不得减少构件的截面高度，后浇带的模板及支架应独立设置。[</w:t>
      </w:r>
      <w:r>
        <w:rPr>
          <w:rFonts w:hint="eastAsia"/>
          <w:sz w:val="21"/>
          <w:szCs w:val="21"/>
          <w:lang w:eastAsia="zh-CN"/>
        </w:rPr>
        <w:t>易考</w:t>
      </w:r>
      <w:r>
        <w:rPr>
          <w:rFonts w:hint="eastAsia"/>
          <w:sz w:val="21"/>
          <w:szCs w:val="21"/>
        </w:rPr>
        <w:t>单选，</w:t>
      </w:r>
      <w:r>
        <w:rPr>
          <w:rFonts w:hint="eastAsia"/>
          <w:sz w:val="21"/>
          <w:szCs w:val="21"/>
          <w:lang w:eastAsia="zh-CN"/>
        </w:rPr>
        <w:t>会</w:t>
      </w:r>
      <w:r>
        <w:rPr>
          <w:rFonts w:hint="eastAsia"/>
          <w:sz w:val="21"/>
          <w:szCs w:val="21"/>
        </w:rPr>
        <w:t>计算]</w:t>
      </w:r>
    </w:p>
    <w:p>
      <w:pPr>
        <w:pStyle w:val="6"/>
        <w:numPr>
          <w:ilvl w:val="0"/>
          <w:numId w:val="0"/>
        </w:numPr>
        <w:rPr>
          <w:rFonts w:hint="eastAsia"/>
          <w:sz w:val="21"/>
          <w:szCs w:val="21"/>
        </w:rPr>
      </w:pPr>
      <w:r>
        <w:rPr>
          <w:rFonts w:hint="eastAsia"/>
          <w:sz w:val="21"/>
          <w:szCs w:val="21"/>
        </w:rPr>
        <w:t>[ P50 ]当填土场地地面陡于 1:5 时，可将斜坡挖成阶梯形，阶高 0.2 ~ 0.3m，阶宽大于</w:t>
      </w:r>
      <w:r>
        <w:rPr>
          <w:rFonts w:hint="eastAsia"/>
          <w:sz w:val="21"/>
          <w:szCs w:val="21"/>
          <w:lang w:val="en-US" w:eastAsia="zh-CN"/>
        </w:rPr>
        <w:t>1</w:t>
      </w:r>
      <w:r>
        <w:rPr>
          <w:rFonts w:hint="eastAsia"/>
          <w:sz w:val="21"/>
          <w:szCs w:val="21"/>
        </w:rPr>
        <w:t xml:space="preserve"> m 然后分层填土以利接合和防止滑动。[单选，必考点]</w:t>
      </w:r>
    </w:p>
    <w:p>
      <w:pPr>
        <w:pStyle w:val="6"/>
        <w:numPr>
          <w:ilvl w:val="0"/>
          <w:numId w:val="0"/>
        </w:numPr>
        <w:rPr>
          <w:rFonts w:hint="eastAsia"/>
          <w:sz w:val="21"/>
          <w:szCs w:val="21"/>
        </w:rPr>
      </w:pPr>
      <w:r>
        <w:rPr>
          <w:rFonts w:hint="eastAsia"/>
          <w:sz w:val="21"/>
          <w:szCs w:val="21"/>
        </w:rPr>
        <w:t>[P61]模板工程设计的主要原则: (1) 实用性; (2)安全性; (3) 经济性。[易考多选]</w:t>
      </w:r>
    </w:p>
    <w:p>
      <w:pPr>
        <w:pStyle w:val="6"/>
        <w:numPr>
          <w:ilvl w:val="0"/>
          <w:numId w:val="0"/>
        </w:numPr>
        <w:rPr>
          <w:rFonts w:hint="eastAsia"/>
          <w:sz w:val="21"/>
          <w:szCs w:val="21"/>
        </w:rPr>
      </w:pPr>
      <w:r>
        <w:rPr>
          <w:rFonts w:hint="eastAsia"/>
          <w:sz w:val="21"/>
          <w:szCs w:val="21"/>
        </w:rPr>
        <w:t>[ P63 ]钢筋加工包括调直、除锈、下料切断、接长、弯曲成型等。钢筋宜采用无延伸功能的机械设备进行调直.也可采用冷拉调直。[易考多选]</w:t>
      </w:r>
    </w:p>
    <w:p>
      <w:pPr>
        <w:pStyle w:val="6"/>
        <w:ind w:left="0" w:leftChars="0" w:firstLine="0" w:firstLineChars="0"/>
        <w:rPr>
          <w:rFonts w:hint="eastAsia"/>
          <w:sz w:val="21"/>
          <w:szCs w:val="21"/>
        </w:rPr>
      </w:pPr>
      <w:r>
        <w:rPr>
          <w:rFonts w:hint="eastAsia"/>
          <w:sz w:val="21"/>
          <w:szCs w:val="21"/>
        </w:rPr>
        <w:t>[ P64]当采用冷拉调直时，HPB300 光圆钢筋的冷拉率不宜大于 4%: HRB335、HRB400、HRB500HRBF400、HRBF500及 RRB400 带助钢筋的冷拉率不宜大于1%。[易考多选]</w:t>
      </w:r>
    </w:p>
    <w:p>
      <w:pPr>
        <w:pStyle w:val="6"/>
        <w:numPr>
          <w:ilvl w:val="0"/>
          <w:numId w:val="0"/>
        </w:numPr>
        <w:ind w:leftChars="0"/>
        <w:rPr>
          <w:rFonts w:hint="eastAsia"/>
          <w:sz w:val="21"/>
          <w:szCs w:val="21"/>
        </w:rPr>
      </w:pPr>
      <w:r>
        <w:rPr>
          <w:rFonts w:hint="eastAsia"/>
          <w:sz w:val="21"/>
          <w:szCs w:val="21"/>
        </w:rPr>
        <w:t>[ P69 ]后浇带通常根据设计要求留设，并保留一段时间(若设计无要求，则至少保留 14</w:t>
      </w:r>
      <w:r>
        <w:rPr>
          <w:rFonts w:hint="eastAsia"/>
          <w:sz w:val="21"/>
          <w:szCs w:val="21"/>
          <w:lang w:eastAsia="zh-CN"/>
        </w:rPr>
        <w:t>天</w:t>
      </w:r>
      <w:r>
        <w:rPr>
          <w:rFonts w:hint="eastAsia"/>
          <w:sz w:val="21"/>
          <w:szCs w:val="21"/>
        </w:rPr>
        <w:t>并经设计确认)后再浇筑，将结构连成整体。[易考单选，数字的记忆 ]</w:t>
      </w:r>
    </w:p>
    <w:p>
      <w:pPr>
        <w:pStyle w:val="6"/>
        <w:numPr>
          <w:ilvl w:val="0"/>
          <w:numId w:val="0"/>
        </w:numPr>
        <w:ind w:leftChars="0"/>
        <w:rPr>
          <w:rFonts w:hint="eastAsia"/>
          <w:sz w:val="21"/>
          <w:szCs w:val="21"/>
        </w:rPr>
      </w:pPr>
      <w:r>
        <w:rPr>
          <w:rFonts w:hint="eastAsia"/>
          <w:sz w:val="21"/>
          <w:szCs w:val="21"/>
        </w:rPr>
        <w:t>[ P69 ]填充后浇带，可采用微膨胀混凝土，强度等级比原结构强度提高一级，并保持至少 14d 的湿润养护后浇带接缝处按施工缝的要求处理。[易考案例]</w:t>
      </w:r>
    </w:p>
    <w:p>
      <w:pPr>
        <w:pStyle w:val="6"/>
        <w:numPr>
          <w:ilvl w:val="0"/>
          <w:numId w:val="0"/>
        </w:numPr>
        <w:ind w:leftChars="0"/>
        <w:rPr>
          <w:rFonts w:hint="eastAsia"/>
          <w:sz w:val="21"/>
          <w:szCs w:val="21"/>
        </w:rPr>
      </w:pPr>
      <w:r>
        <w:rPr>
          <w:rFonts w:hint="eastAsia"/>
          <w:sz w:val="21"/>
          <w:szCs w:val="21"/>
        </w:rPr>
        <w:t>[ P72 ]在砖墙上留置临时施工洞口，其侧边离交接处墙面不应小于500mm.洞口净宽不应超过1m[易考单选]</w:t>
      </w:r>
    </w:p>
    <w:p>
      <w:pPr>
        <w:pStyle w:val="6"/>
        <w:numPr>
          <w:ilvl w:val="0"/>
          <w:numId w:val="0"/>
        </w:numPr>
        <w:rPr>
          <w:rFonts w:hint="eastAsia"/>
          <w:sz w:val="21"/>
          <w:szCs w:val="21"/>
        </w:rPr>
      </w:pPr>
      <w:r>
        <w:rPr>
          <w:rFonts w:hint="eastAsia"/>
          <w:sz w:val="21"/>
          <w:szCs w:val="21"/>
        </w:rPr>
        <w:t>[P75 ]在厨房、卫生间、浴室等处采用轻骨料混凝土小型空心砌块、蒸压加气混凝土砌块砌筑墙体时，墙底部宜现浇混凝土坎台，其高度宜为 150mm。[易考单选]</w:t>
      </w:r>
    </w:p>
    <w:p>
      <w:pPr>
        <w:pStyle w:val="6"/>
        <w:numPr>
          <w:ilvl w:val="0"/>
          <w:numId w:val="0"/>
        </w:numPr>
        <w:rPr>
          <w:rFonts w:hint="eastAsia"/>
          <w:sz w:val="21"/>
          <w:szCs w:val="21"/>
        </w:rPr>
      </w:pPr>
      <w:r>
        <w:rPr>
          <w:rFonts w:hint="eastAsia"/>
          <w:sz w:val="21"/>
          <w:szCs w:val="21"/>
        </w:rPr>
        <w:t>[ P81]预制构件进场时，构件生产单位应提供相关质量证明文件。质量证明文件应包括以下内容: (1)出厂合格证: (2)混凝土强度检验报告: (3) 钢筋复验单: (4) 钢筋套简等其他构件钢筋连接类型的</w:t>
      </w:r>
      <w:r>
        <w:rPr>
          <w:rFonts w:hint="eastAsia"/>
          <w:sz w:val="21"/>
          <w:szCs w:val="21"/>
          <w:lang w:eastAsia="zh-CN"/>
        </w:rPr>
        <w:t>工</w:t>
      </w:r>
      <w:r>
        <w:rPr>
          <w:rFonts w:hint="eastAsia"/>
          <w:sz w:val="21"/>
          <w:szCs w:val="21"/>
        </w:rPr>
        <w:t>艺检验报告: (5)合同要求的其他质量证明文件。[案例]</w:t>
      </w:r>
    </w:p>
    <w:p>
      <w:pPr>
        <w:pStyle w:val="6"/>
        <w:numPr>
          <w:ilvl w:val="0"/>
          <w:numId w:val="0"/>
        </w:numPr>
        <w:rPr>
          <w:rFonts w:hint="eastAsia"/>
          <w:sz w:val="21"/>
          <w:szCs w:val="21"/>
        </w:rPr>
      </w:pPr>
      <w:r>
        <w:rPr>
          <w:rFonts w:hint="eastAsia"/>
          <w:sz w:val="21"/>
          <w:szCs w:val="21"/>
        </w:rPr>
        <w:t>[P81 ]预制构件进场前，混凝土强度应符合设计要求。当设计无具体要求时，混凝土同条件立方体抗压强度不应小于混凝土强度等级值的 75%。[易考单选 ]</w:t>
      </w:r>
    </w:p>
    <w:p>
      <w:pPr>
        <w:pStyle w:val="6"/>
        <w:numPr>
          <w:ilvl w:val="0"/>
          <w:numId w:val="0"/>
        </w:numPr>
        <w:rPr>
          <w:rFonts w:hint="eastAsia"/>
          <w:sz w:val="21"/>
          <w:szCs w:val="21"/>
        </w:rPr>
      </w:pPr>
      <w:r>
        <w:rPr>
          <w:rFonts w:hint="eastAsia"/>
          <w:sz w:val="21"/>
          <w:szCs w:val="21"/>
        </w:rPr>
        <w:t>地下工程的防水等级分为四级。防水混凝土的适用环境温度不得高于 80C，无机防水涂料宜用于结构主体的背水面，有机防水涂料宜用于地下工程主体结构的迎水面。[易</w:t>
      </w:r>
      <w:r>
        <w:rPr>
          <w:rFonts w:hint="eastAsia"/>
          <w:sz w:val="21"/>
          <w:szCs w:val="21"/>
          <w:lang w:eastAsia="zh-CN"/>
        </w:rPr>
        <w:t>考</w:t>
      </w:r>
      <w:r>
        <w:rPr>
          <w:rFonts w:hint="eastAsia"/>
          <w:sz w:val="21"/>
          <w:szCs w:val="21"/>
        </w:rPr>
        <w:t>单选]</w:t>
      </w:r>
    </w:p>
    <w:p>
      <w:pPr>
        <w:pStyle w:val="6"/>
        <w:numPr>
          <w:ilvl w:val="0"/>
          <w:numId w:val="0"/>
        </w:numPr>
        <w:rPr>
          <w:rFonts w:hint="eastAsia"/>
          <w:sz w:val="21"/>
          <w:szCs w:val="21"/>
        </w:rPr>
      </w:pPr>
      <w:r>
        <w:rPr>
          <w:rFonts w:hint="eastAsia"/>
          <w:sz w:val="21"/>
          <w:szCs w:val="21"/>
        </w:rPr>
        <w:t>混凝土中氯离子含量应符合相关规定:预应力混凝土限制在 0.02/m 以下，普通钢筋混凝土限制在0.02 ~ 0.2kg/m。[单选，</w:t>
      </w:r>
      <w:r>
        <w:rPr>
          <w:rFonts w:hint="eastAsia"/>
          <w:sz w:val="21"/>
          <w:szCs w:val="21"/>
          <w:lang w:eastAsia="zh-CN"/>
        </w:rPr>
        <w:t>氯离子</w:t>
      </w:r>
      <w:r>
        <w:rPr>
          <w:rFonts w:hint="eastAsia"/>
          <w:sz w:val="21"/>
          <w:szCs w:val="21"/>
        </w:rPr>
        <w:t>含量]</w:t>
      </w:r>
    </w:p>
    <w:p>
      <w:pPr>
        <w:pStyle w:val="6"/>
        <w:ind w:left="0" w:leftChars="0" w:firstLine="0" w:firstLineChars="0"/>
        <w:rPr>
          <w:rFonts w:hint="eastAsia"/>
          <w:sz w:val="21"/>
          <w:szCs w:val="21"/>
        </w:rPr>
      </w:pPr>
      <w:r>
        <w:rPr>
          <w:rFonts w:hint="eastAsia"/>
          <w:sz w:val="21"/>
          <w:szCs w:val="21"/>
        </w:rPr>
        <w:t>[P</w:t>
      </w:r>
      <w:r>
        <w:rPr>
          <w:rFonts w:hint="eastAsia"/>
          <w:sz w:val="21"/>
          <w:szCs w:val="21"/>
          <w:lang w:val="en-US" w:eastAsia="zh-CN"/>
        </w:rPr>
        <w:t>91</w:t>
      </w:r>
      <w:r>
        <w:rPr>
          <w:rFonts w:hint="eastAsia"/>
          <w:sz w:val="21"/>
          <w:szCs w:val="21"/>
        </w:rPr>
        <w:t>]屋面卷材防水层的施工要求: (1) 卷材防水层施工时，应先进行细部构造处理，然后由屋面最低标高向上铺贴: (2)檐沟、天沟卷材施工时，宜顺檐沟、天沟方向铺贴，搭接缝应顺流水方向: (3) 卷材宜平行屋脊铺贴，上下层卷材不得相工垂直铺贴:(4)立面或大坡面铺贴卷材时，应采用满粘法，并宜减少卷材短边搭接: (5) 平行屋的搭接缝应顺流水方向: (6)同一层相邻两幅卷材短边搭接缝错开不应小于 500mm; (7)上下层卷材长边搭接缝应错开，且不应小于幅宽的 1/3: (8) 厚度小于 3mm的高聚物改性沥青防水卷材，严禁采用热熔法施工。[易考多选，先后顺序，铺贴方向]</w:t>
      </w:r>
    </w:p>
    <w:p>
      <w:pPr>
        <w:pStyle w:val="6"/>
        <w:ind w:left="0" w:leftChars="0" w:firstLine="0" w:firstLineChars="0"/>
        <w:rPr>
          <w:rFonts w:hint="eastAsia"/>
          <w:sz w:val="21"/>
          <w:szCs w:val="21"/>
        </w:rPr>
      </w:pPr>
      <w:r>
        <w:rPr>
          <w:rFonts w:hint="eastAsia"/>
          <w:sz w:val="21"/>
          <w:szCs w:val="21"/>
        </w:rPr>
        <w:t>[ P99 ]吊距主龙骨端部和距墙的距离不应大于 300mm。主龙骨上吊杆之间的距离应小于 1000mm; 主龙间距不应大于 1200mm。当吊杆长度大于1.5m时，应设置反支撑。当吊杆与设备相遇时，应调整增设品杆[ 易考多选，数字的记忆，结合图形]</w:t>
      </w:r>
    </w:p>
    <w:p>
      <w:pPr>
        <w:pStyle w:val="6"/>
        <w:numPr>
          <w:ilvl w:val="0"/>
          <w:numId w:val="0"/>
        </w:numPr>
        <w:rPr>
          <w:rFonts w:hint="eastAsia"/>
          <w:sz w:val="21"/>
          <w:szCs w:val="21"/>
        </w:rPr>
      </w:pPr>
      <w:r>
        <w:rPr>
          <w:rFonts w:hint="eastAsia"/>
          <w:sz w:val="21"/>
          <w:szCs w:val="21"/>
        </w:rPr>
        <w:t>[ P1</w:t>
      </w:r>
      <w:r>
        <w:rPr>
          <w:rFonts w:hint="eastAsia"/>
          <w:sz w:val="21"/>
          <w:szCs w:val="21"/>
          <w:lang w:val="en-US" w:eastAsia="zh-CN"/>
        </w:rPr>
        <w:t>08</w:t>
      </w:r>
      <w:r>
        <w:rPr>
          <w:rFonts w:hint="eastAsia"/>
          <w:sz w:val="21"/>
          <w:szCs w:val="21"/>
        </w:rPr>
        <w:t xml:space="preserve"> ]饰面板安装工程是指内墙饰面板安装工程和高度不大于 24m、抗震设防烈度不大于 8 度的外墙饰面板安装工程。饰面砖工程是指内墙饰面砖和高度不大于 100m、抗震设防烈度不大于 8 度、采用满粘法施工的外墙饰面砖工程。[易考单选，适用范围]</w:t>
      </w:r>
    </w:p>
    <w:p>
      <w:pPr>
        <w:pStyle w:val="6"/>
        <w:numPr>
          <w:ilvl w:val="0"/>
          <w:numId w:val="0"/>
        </w:numPr>
        <w:rPr>
          <w:sz w:val="21"/>
          <w:szCs w:val="21"/>
        </w:rPr>
      </w:pPr>
      <w:r>
        <w:rPr>
          <w:rFonts w:hint="eastAsia"/>
          <w:sz w:val="21"/>
          <w:szCs w:val="21"/>
        </w:rPr>
        <w:t>[P112 ]门窗安装应采用预留洞口的方法施工，不得采用边安装边砌口或先安装后砌口的方法施工。在砌体上安装金属门窗严禁用射钉固定。[易考单选]</w:t>
      </w:r>
    </w:p>
    <w:p>
      <w:pPr>
        <w:pStyle w:val="6"/>
        <w:numPr>
          <w:ilvl w:val="0"/>
          <w:numId w:val="0"/>
        </w:numPr>
        <w:rPr>
          <w:sz w:val="21"/>
          <w:szCs w:val="21"/>
        </w:rPr>
      </w:pPr>
      <w:r>
        <w:rPr>
          <w:rFonts w:hint="eastAsia"/>
          <w:sz w:val="21"/>
          <w:szCs w:val="21"/>
        </w:rPr>
        <w:t>[P122 ]砌体施工时，砂浆温度不应低于 5C。当设计无要求，且最低气温等于或低于 - 15C时，砌体砂浆强度等级应较常温施工提高一级。[易考单选]</w:t>
      </w:r>
    </w:p>
    <w:p>
      <w:pPr>
        <w:pStyle w:val="6"/>
        <w:numPr>
          <w:ilvl w:val="0"/>
          <w:numId w:val="0"/>
        </w:numPr>
        <w:rPr>
          <w:sz w:val="21"/>
          <w:szCs w:val="21"/>
        </w:rPr>
      </w:pPr>
      <w:r>
        <w:rPr>
          <w:rFonts w:hint="eastAsia"/>
          <w:sz w:val="21"/>
          <w:szCs w:val="21"/>
        </w:rPr>
        <w:t>[ P122 ]建筑外墙保温工程冬期施工最低温度不应低于 - 5C。外墙外保温工程施工期间以及完工后 24h 内.基层及环境空气温度不应低于 5C。[易</w:t>
      </w:r>
      <w:r>
        <w:rPr>
          <w:rFonts w:hint="eastAsia"/>
          <w:sz w:val="21"/>
          <w:szCs w:val="21"/>
          <w:lang w:eastAsia="zh-CN"/>
        </w:rPr>
        <w:t>考</w:t>
      </w:r>
      <w:r>
        <w:rPr>
          <w:rFonts w:hint="eastAsia"/>
          <w:sz w:val="21"/>
          <w:szCs w:val="21"/>
        </w:rPr>
        <w:t>单选]</w:t>
      </w:r>
    </w:p>
    <w:p>
      <w:pPr>
        <w:pStyle w:val="6"/>
        <w:numPr>
          <w:ilvl w:val="0"/>
          <w:numId w:val="0"/>
        </w:numPr>
        <w:rPr>
          <w:sz w:val="21"/>
          <w:szCs w:val="21"/>
        </w:rPr>
      </w:pPr>
      <w:r>
        <w:rPr>
          <w:rFonts w:hint="eastAsia"/>
          <w:sz w:val="21"/>
          <w:szCs w:val="21"/>
        </w:rPr>
        <w:t>[P132 ]投标有效期从提交投标文件的截止之日起算。[易考单选]</w:t>
      </w:r>
    </w:p>
    <w:p>
      <w:pPr>
        <w:pStyle w:val="6"/>
        <w:numPr>
          <w:ilvl w:val="0"/>
          <w:numId w:val="0"/>
        </w:numPr>
        <w:rPr>
          <w:rFonts w:hint="eastAsia"/>
          <w:sz w:val="21"/>
          <w:szCs w:val="21"/>
        </w:rPr>
      </w:pPr>
      <w:r>
        <w:rPr>
          <w:rFonts w:hint="eastAsia"/>
          <w:sz w:val="21"/>
          <w:szCs w:val="21"/>
        </w:rPr>
        <w:t>[P132]招标人应当确定投标人编制投标文件所需要的合理时间:但是，依法必须进行招标的项目，自招标文件开始发出之日起至投标人提交投标文件截止之日止，最短不得少于 20d。[易考单选]</w:t>
      </w:r>
    </w:p>
    <w:p>
      <w:pPr>
        <w:pStyle w:val="6"/>
        <w:numPr>
          <w:ilvl w:val="0"/>
          <w:numId w:val="0"/>
        </w:numPr>
        <w:rPr>
          <w:rFonts w:hint="eastAsia"/>
          <w:sz w:val="21"/>
          <w:szCs w:val="21"/>
        </w:rPr>
      </w:pPr>
      <w:r>
        <w:rPr>
          <w:rFonts w:hint="eastAsia"/>
          <w:sz w:val="21"/>
          <w:szCs w:val="21"/>
        </w:rPr>
        <w:t>[P131]邀请招标，是指招标人以投标邀请书的方式邀请特定不少 3 人的法人或者其他组织投标。有下列情形之一的，可以邀请招标: (1) 技术复杂、有特殊要求或者受自然环境限制，只有少量潜在投标人可供选择。 (2) 采用公开招标方式的费用占项目合同金额的比例过大。[易考单选]</w:t>
      </w:r>
    </w:p>
    <w:p>
      <w:pPr>
        <w:pStyle w:val="6"/>
        <w:numPr>
          <w:ilvl w:val="0"/>
          <w:numId w:val="0"/>
        </w:numPr>
        <w:rPr>
          <w:rFonts w:hint="eastAsia"/>
          <w:sz w:val="21"/>
          <w:szCs w:val="21"/>
        </w:rPr>
      </w:pPr>
      <w:r>
        <w:rPr>
          <w:rFonts w:hint="eastAsia"/>
          <w:sz w:val="21"/>
          <w:szCs w:val="21"/>
        </w:rPr>
        <w:t>[P13</w:t>
      </w:r>
      <w:r>
        <w:rPr>
          <w:rFonts w:hint="eastAsia"/>
          <w:sz w:val="21"/>
          <w:szCs w:val="21"/>
          <w:lang w:val="en-US" w:eastAsia="zh-CN"/>
        </w:rPr>
        <w:t>6</w:t>
      </w:r>
      <w:r>
        <w:rPr>
          <w:rFonts w:hint="eastAsia"/>
          <w:sz w:val="21"/>
          <w:szCs w:val="21"/>
        </w:rPr>
        <w:t>]《建设工程施工合同(示范文本 )》由“协议书”“通用条款”和“专用条款”3 部分组成。[易考多选]</w:t>
      </w:r>
    </w:p>
    <w:p>
      <w:pPr>
        <w:pStyle w:val="6"/>
        <w:numPr>
          <w:ilvl w:val="0"/>
          <w:numId w:val="0"/>
        </w:numPr>
        <w:rPr>
          <w:rFonts w:hint="eastAsia"/>
          <w:sz w:val="21"/>
          <w:szCs w:val="21"/>
        </w:rPr>
      </w:pPr>
      <w:r>
        <w:rPr>
          <w:rFonts w:hint="eastAsia"/>
          <w:sz w:val="21"/>
          <w:szCs w:val="21"/>
        </w:rPr>
        <w:t>[P136 ]施工合同文件的构成及优先解释顺序: (1) 施工合同协议书。 (2) 中标通知书。(3) 投标丽及其附录。(4) 专用合同条款及其附件。(5) 通用合同条款。(6) 有关技术标准和要求。(7) 图纸(8)已标价工程量清单或预算书。(9) 其他合同文件。同一类内容的文件，应以最新签署的为准。[注意解释</w:t>
      </w:r>
      <w:r>
        <w:rPr>
          <w:rFonts w:hint="eastAsia"/>
          <w:sz w:val="21"/>
          <w:szCs w:val="21"/>
          <w:lang w:eastAsia="zh-CN"/>
        </w:rPr>
        <w:t>顺序</w:t>
      </w:r>
      <w:r>
        <w:rPr>
          <w:rFonts w:hint="eastAsia"/>
          <w:sz w:val="21"/>
          <w:szCs w:val="21"/>
        </w:rPr>
        <w:t>]</w:t>
      </w:r>
    </w:p>
    <w:p>
      <w:pPr>
        <w:pStyle w:val="6"/>
        <w:numPr>
          <w:ilvl w:val="0"/>
          <w:numId w:val="0"/>
        </w:numPr>
        <w:rPr>
          <w:rFonts w:hint="eastAsia"/>
          <w:sz w:val="21"/>
          <w:szCs w:val="21"/>
        </w:rPr>
      </w:pPr>
      <w:r>
        <w:rPr>
          <w:rFonts w:hint="eastAsia"/>
          <w:sz w:val="21"/>
          <w:szCs w:val="21"/>
        </w:rPr>
        <w:t>[P1</w:t>
      </w:r>
      <w:r>
        <w:rPr>
          <w:rFonts w:hint="eastAsia"/>
          <w:sz w:val="21"/>
          <w:szCs w:val="21"/>
          <w:lang w:val="en-US" w:eastAsia="zh-CN"/>
        </w:rPr>
        <w:t>55</w:t>
      </w:r>
      <w:r>
        <w:rPr>
          <w:rFonts w:hint="eastAsia"/>
          <w:sz w:val="21"/>
          <w:szCs w:val="21"/>
        </w:rPr>
        <w:t xml:space="preserve"> ]施工组织设计按编制对象，可分为施工组织总设计、单位工程施工组织设计和施工方案。[易考多选]</w:t>
      </w:r>
    </w:p>
    <w:p>
      <w:pPr>
        <w:pStyle w:val="6"/>
        <w:numPr>
          <w:ilvl w:val="0"/>
          <w:numId w:val="0"/>
        </w:numPr>
        <w:rPr>
          <w:rFonts w:hint="eastAsia"/>
          <w:sz w:val="21"/>
          <w:szCs w:val="21"/>
        </w:rPr>
      </w:pPr>
      <w:r>
        <w:rPr>
          <w:rFonts w:hint="eastAsia"/>
          <w:sz w:val="21"/>
          <w:szCs w:val="21"/>
        </w:rPr>
        <w:t>[ P156]单位工程施工组织设计的基本内容:(1)编制依据。(2)工程概况。(3)施工部署。(4)施工进度计划(5)施工准备及资源配置计划。(6)主要施工方法。(7)施现场平面布置。(8)主要施工管理计划等[案例简签 ]</w:t>
      </w:r>
    </w:p>
    <w:p>
      <w:pPr>
        <w:pStyle w:val="6"/>
        <w:numPr>
          <w:ilvl w:val="0"/>
          <w:numId w:val="0"/>
        </w:numPr>
        <w:rPr>
          <w:rFonts w:hint="eastAsia"/>
          <w:sz w:val="21"/>
          <w:szCs w:val="21"/>
        </w:rPr>
      </w:pPr>
      <w:r>
        <w:rPr>
          <w:rFonts w:hint="eastAsia"/>
          <w:sz w:val="21"/>
          <w:szCs w:val="21"/>
        </w:rPr>
        <w:t>[ P156 ]单位工程施工组织设计，由项目负责人负责编制，项目经理部全体管理人员参加。施工单位主管部门审核，施工单位技术负责人或其授权的技术人员审批。在工程开工前由项目负责人组织，对项目部全体管理人员及主要分包单位进行交底并做好交底记录。单位工程的施工组织设计在实施过程中应进行检查过程检查可按照地基基础、主体结构、装饰装修和机电设备安装三个阶段进行。[易考案例]</w:t>
      </w:r>
    </w:p>
    <w:p>
      <w:pPr>
        <w:pStyle w:val="6"/>
        <w:numPr>
          <w:ilvl w:val="0"/>
          <w:numId w:val="0"/>
        </w:numPr>
        <w:rPr>
          <w:rFonts w:hint="eastAsia"/>
          <w:sz w:val="21"/>
          <w:szCs w:val="21"/>
        </w:rPr>
      </w:pPr>
      <w:r>
        <w:rPr>
          <w:rFonts w:hint="eastAsia"/>
          <w:sz w:val="21"/>
          <w:szCs w:val="21"/>
        </w:rPr>
        <w:t>[ P1</w:t>
      </w:r>
      <w:r>
        <w:rPr>
          <w:rFonts w:hint="eastAsia"/>
          <w:sz w:val="21"/>
          <w:szCs w:val="21"/>
          <w:lang w:val="en-US" w:eastAsia="zh-CN"/>
        </w:rPr>
        <w:t>60</w:t>
      </w:r>
      <w:r>
        <w:rPr>
          <w:rFonts w:hint="eastAsia"/>
          <w:sz w:val="21"/>
          <w:szCs w:val="21"/>
        </w:rPr>
        <w:t>]绿色施工是指工程建设过程中，在保证质量、安全等基本要求的前提下，通过科学管理和技术进步最大限度地节约资源，减少对环境负面影响，实现节能、节材、节水、节地和环境保护(“四节一环保”)的建筑工程施工活动。[易考多选，简答]</w:t>
      </w:r>
    </w:p>
    <w:p>
      <w:pPr>
        <w:pStyle w:val="6"/>
        <w:numPr>
          <w:ilvl w:val="0"/>
          <w:numId w:val="0"/>
        </w:numPr>
        <w:rPr>
          <w:rFonts w:hint="eastAsia"/>
          <w:sz w:val="21"/>
          <w:szCs w:val="21"/>
        </w:rPr>
      </w:pPr>
      <w:r>
        <w:rPr>
          <w:rFonts w:hint="eastAsia"/>
          <w:sz w:val="21"/>
          <w:szCs w:val="21"/>
        </w:rPr>
        <w:t>建筑工程施工合同管理的原则: (1)依法履约原则;(2)诚实信用原则:(3 )全面履行原则:(4) 协调合作原则:(5) 维护权益原则: (6) 动态管理原则: (7) 合同归口管理原则: (8)个过程合同风险管理原则; (9) 统一标准化原则。[</w:t>
      </w:r>
      <w:r>
        <w:rPr>
          <w:rFonts w:hint="eastAsia"/>
          <w:sz w:val="21"/>
          <w:szCs w:val="21"/>
          <w:lang w:eastAsia="zh-CN"/>
        </w:rPr>
        <w:t>案</w:t>
      </w:r>
      <w:r>
        <w:rPr>
          <w:rFonts w:hint="eastAsia"/>
          <w:sz w:val="21"/>
          <w:szCs w:val="21"/>
        </w:rPr>
        <w:t>例，简答]</w:t>
      </w:r>
    </w:p>
    <w:p>
      <w:pPr>
        <w:pStyle w:val="6"/>
        <w:numPr>
          <w:ilvl w:val="0"/>
          <w:numId w:val="0"/>
        </w:numPr>
        <w:rPr>
          <w:rFonts w:hint="eastAsia"/>
          <w:sz w:val="21"/>
          <w:szCs w:val="21"/>
        </w:rPr>
      </w:pPr>
      <w:r>
        <w:rPr>
          <w:rFonts w:hint="eastAsia"/>
          <w:sz w:val="21"/>
          <w:szCs w:val="21"/>
        </w:rPr>
        <w:t>[P150]索赔必须符合的基本条件: (1) 客观性: (2) 合法性: (3) 合理性。[易考多选]</w:t>
      </w:r>
    </w:p>
    <w:p>
      <w:pPr>
        <w:pStyle w:val="6"/>
        <w:numPr>
          <w:ilvl w:val="0"/>
          <w:numId w:val="0"/>
        </w:numPr>
        <w:rPr>
          <w:rFonts w:hint="eastAsia"/>
          <w:sz w:val="21"/>
          <w:szCs w:val="21"/>
        </w:rPr>
      </w:pPr>
      <w:r>
        <w:rPr>
          <w:rFonts w:hint="eastAsia"/>
          <w:sz w:val="21"/>
          <w:szCs w:val="21"/>
        </w:rPr>
        <w:t>[P165]一级动火包括的内容: (1) 禁火区域内(2)油罐、油箱、油槽车和储存过可燃气体、易燃液体的容器及与其连接在一起的辅助设备(3 )各种受压设备(4)危险性较大的登高焊、割作业(5)比较密封的室内容器内、地下室等场所(6)现场堆有大量可燃和易燃物质的场所。[易考多选，</w:t>
      </w:r>
      <w:r>
        <w:rPr>
          <w:rFonts w:hint="eastAsia"/>
          <w:sz w:val="21"/>
          <w:szCs w:val="21"/>
          <w:lang w:eastAsia="zh-CN"/>
        </w:rPr>
        <w:t>能区分几级动火</w:t>
      </w:r>
      <w:r>
        <w:rPr>
          <w:rFonts w:hint="eastAsia"/>
          <w:sz w:val="21"/>
          <w:szCs w:val="21"/>
        </w:rPr>
        <w:t>]</w:t>
      </w:r>
    </w:p>
    <w:p>
      <w:pPr>
        <w:pStyle w:val="6"/>
        <w:numPr>
          <w:ilvl w:val="0"/>
          <w:numId w:val="0"/>
        </w:numPr>
        <w:rPr>
          <w:rFonts w:hint="eastAsia"/>
          <w:sz w:val="21"/>
          <w:szCs w:val="21"/>
        </w:rPr>
      </w:pPr>
      <w:r>
        <w:rPr>
          <w:rFonts w:hint="eastAsia"/>
          <w:sz w:val="21"/>
          <w:szCs w:val="21"/>
        </w:rPr>
        <w:t>[P165]一级动火作业由项日负责人组织编制防火安全技术方案，填写动火申请表，报企业安全管理部门审查批准后，方可动火。[易考案例，</w:t>
      </w:r>
      <w:r>
        <w:rPr>
          <w:rFonts w:hint="eastAsia"/>
          <w:sz w:val="21"/>
          <w:szCs w:val="21"/>
          <w:lang w:eastAsia="zh-CN"/>
        </w:rPr>
        <w:t>审批</w:t>
      </w:r>
      <w:r>
        <w:rPr>
          <w:rFonts w:hint="eastAsia"/>
          <w:sz w:val="21"/>
          <w:szCs w:val="21"/>
        </w:rPr>
        <w:t>程序]</w:t>
      </w:r>
    </w:p>
    <w:p>
      <w:pPr>
        <w:pStyle w:val="6"/>
        <w:numPr>
          <w:ilvl w:val="0"/>
          <w:numId w:val="0"/>
        </w:numPr>
        <w:rPr>
          <w:rFonts w:hint="eastAsia"/>
          <w:sz w:val="21"/>
          <w:szCs w:val="21"/>
        </w:rPr>
      </w:pPr>
      <w:r>
        <w:rPr>
          <w:rFonts w:hint="eastAsia"/>
          <w:sz w:val="21"/>
          <w:szCs w:val="21"/>
        </w:rPr>
        <w:t>[ P165 ]动火证当日有效，若动火地点发生变化，则需重新办理动火审批手续。[易考单选]</w:t>
      </w:r>
    </w:p>
    <w:p>
      <w:pPr>
        <w:pStyle w:val="6"/>
        <w:numPr>
          <w:ilvl w:val="0"/>
          <w:numId w:val="0"/>
        </w:numPr>
        <w:rPr>
          <w:rFonts w:hint="eastAsia"/>
          <w:sz w:val="21"/>
          <w:szCs w:val="21"/>
        </w:rPr>
      </w:pPr>
      <w:r>
        <w:rPr>
          <w:rFonts w:hint="eastAsia"/>
          <w:sz w:val="21"/>
          <w:szCs w:val="21"/>
        </w:rPr>
        <w:t>[ P16</w:t>
      </w:r>
      <w:r>
        <w:rPr>
          <w:rFonts w:hint="eastAsia"/>
          <w:sz w:val="21"/>
          <w:szCs w:val="21"/>
          <w:lang w:val="en-US" w:eastAsia="zh-CN"/>
        </w:rPr>
        <w:t>7</w:t>
      </w:r>
      <w:r>
        <w:rPr>
          <w:rFonts w:hint="eastAsia"/>
          <w:sz w:val="21"/>
          <w:szCs w:val="21"/>
        </w:rPr>
        <w:t xml:space="preserve"> ]现场必须实施封闭管理，现场出入口应设大门和保安值班室、大门或门头设置企业名称和企业标识.车辆和人员出人口应分设，车辆出人口应设置车辆冲洗设施，人员进入施工现场的出入口应设置闸机:建立完善的保安值班管理制度，严禁非施工人员任意进出。[易考选 ]</w:t>
      </w:r>
    </w:p>
    <w:p>
      <w:pPr>
        <w:pStyle w:val="6"/>
        <w:numPr>
          <w:ilvl w:val="0"/>
          <w:numId w:val="0"/>
        </w:numPr>
        <w:rPr>
          <w:rFonts w:hint="eastAsia"/>
          <w:sz w:val="21"/>
          <w:szCs w:val="21"/>
        </w:rPr>
      </w:pPr>
      <w:r>
        <w:rPr>
          <w:rFonts w:hint="eastAsia"/>
          <w:sz w:val="21"/>
          <w:szCs w:val="21"/>
        </w:rPr>
        <w:t>[ P168 ]一般路段围挡高度不得低于 1.8m，市区主要路段的围挡高度不得低于 2.5m。[易考单选]</w:t>
      </w:r>
    </w:p>
    <w:p>
      <w:pPr>
        <w:pStyle w:val="6"/>
        <w:numPr>
          <w:ilvl w:val="0"/>
          <w:numId w:val="0"/>
        </w:numPr>
        <w:rPr>
          <w:rFonts w:hint="eastAsia"/>
          <w:sz w:val="21"/>
          <w:szCs w:val="21"/>
        </w:rPr>
      </w:pPr>
      <w:r>
        <w:rPr>
          <w:rFonts w:hint="eastAsia"/>
          <w:sz w:val="21"/>
          <w:szCs w:val="21"/>
        </w:rPr>
        <w:t>[ P1</w:t>
      </w:r>
      <w:r>
        <w:rPr>
          <w:rFonts w:hint="eastAsia"/>
          <w:sz w:val="21"/>
          <w:szCs w:val="21"/>
          <w:lang w:val="en-US" w:eastAsia="zh-CN"/>
        </w:rPr>
        <w:t>71</w:t>
      </w:r>
      <w:r>
        <w:rPr>
          <w:rFonts w:hint="eastAsia"/>
          <w:sz w:val="21"/>
          <w:szCs w:val="21"/>
        </w:rPr>
        <w:t xml:space="preserve"> ]食堂应设置隔油池，并应及时清理，厕所的化</w:t>
      </w:r>
      <w:r>
        <w:rPr>
          <w:rFonts w:hint="eastAsia"/>
          <w:sz w:val="21"/>
          <w:szCs w:val="21"/>
          <w:lang w:eastAsia="zh-CN"/>
        </w:rPr>
        <w:t>粪</w:t>
      </w:r>
      <w:r>
        <w:rPr>
          <w:rFonts w:hint="eastAsia"/>
          <w:sz w:val="21"/>
          <w:szCs w:val="21"/>
        </w:rPr>
        <w:t>池应做抗渗处理[易考单选]</w:t>
      </w:r>
    </w:p>
    <w:p>
      <w:pPr>
        <w:pStyle w:val="6"/>
        <w:numPr>
          <w:ilvl w:val="0"/>
          <w:numId w:val="0"/>
        </w:numPr>
        <w:rPr>
          <w:rFonts w:hint="eastAsia"/>
          <w:sz w:val="21"/>
          <w:szCs w:val="21"/>
        </w:rPr>
      </w:pPr>
      <w:r>
        <w:rPr>
          <w:rFonts w:hint="eastAsia"/>
          <w:sz w:val="21"/>
          <w:szCs w:val="21"/>
        </w:rPr>
        <w:t>灭火器应摆放稳固，其铭牌必须朝外。[易考单选]</w:t>
      </w:r>
    </w:p>
    <w:p>
      <w:pPr>
        <w:pStyle w:val="6"/>
        <w:numPr>
          <w:ilvl w:val="0"/>
          <w:numId w:val="0"/>
        </w:numPr>
        <w:rPr>
          <w:rFonts w:hint="eastAsia"/>
          <w:sz w:val="21"/>
          <w:szCs w:val="21"/>
        </w:rPr>
      </w:pPr>
      <w:r>
        <w:rPr>
          <w:rFonts w:hint="eastAsia"/>
          <w:sz w:val="21"/>
          <w:szCs w:val="21"/>
        </w:rPr>
        <w:t>[P166]手提式灭火器应使用挂钩悬挂，或摆放在托架上、灭火箱内，也可直接放在室内干燥的地面上，其顶部离地面高度应小于 1.5m，底部离地面高度宜大于 0.15m。[易考单选]</w:t>
      </w:r>
    </w:p>
    <w:p>
      <w:pPr>
        <w:pStyle w:val="6"/>
        <w:numPr>
          <w:ilvl w:val="0"/>
          <w:numId w:val="0"/>
        </w:numPr>
        <w:rPr>
          <w:rFonts w:hint="eastAsia"/>
          <w:sz w:val="21"/>
          <w:szCs w:val="21"/>
        </w:rPr>
      </w:pPr>
      <w:r>
        <w:rPr>
          <w:rFonts w:hint="eastAsia"/>
          <w:sz w:val="21"/>
          <w:szCs w:val="21"/>
        </w:rPr>
        <w:t>[ P170 ]在城市市区范围内从事建筑工程施工，项日必须在工程开工前向工程所在地县级以上地方人民政府环境保护管理部门申报登记。施工期间的噪声排放应当符合国家规定的建筑施工场界噪声排放标准。白天施工限值不超过 75dB(</w:t>
      </w:r>
      <w:r>
        <w:rPr>
          <w:rFonts w:hint="eastAsia"/>
          <w:sz w:val="21"/>
          <w:szCs w:val="21"/>
          <w:lang w:eastAsia="zh-CN"/>
        </w:rPr>
        <w:t>桩</w:t>
      </w:r>
      <w:r>
        <w:rPr>
          <w:rFonts w:hint="eastAsia"/>
          <w:sz w:val="21"/>
          <w:szCs w:val="21"/>
        </w:rPr>
        <w:t>基施工时不超过 85B)，夜间施工限值不超过 55dB。[易考</w:t>
      </w:r>
      <w:r>
        <w:rPr>
          <w:rFonts w:hint="eastAsia"/>
          <w:sz w:val="21"/>
          <w:szCs w:val="21"/>
          <w:lang w:eastAsia="zh-CN"/>
        </w:rPr>
        <w:t>数字</w:t>
      </w:r>
      <w:r>
        <w:rPr>
          <w:rFonts w:hint="eastAsia"/>
          <w:sz w:val="21"/>
          <w:szCs w:val="21"/>
        </w:rPr>
        <w:t>]</w:t>
      </w:r>
    </w:p>
    <w:p>
      <w:pPr>
        <w:pStyle w:val="6"/>
        <w:numPr>
          <w:ilvl w:val="0"/>
          <w:numId w:val="0"/>
        </w:numPr>
        <w:rPr>
          <w:rFonts w:hint="eastAsia"/>
          <w:sz w:val="21"/>
          <w:szCs w:val="21"/>
        </w:rPr>
      </w:pPr>
      <w:r>
        <w:rPr>
          <w:rFonts w:hint="eastAsia"/>
          <w:sz w:val="21"/>
          <w:szCs w:val="21"/>
        </w:rPr>
        <w:t>[ P170]夜间施工的(一般指当日 22 时至次日6 时，特殊地区可由当地政府部门另行规定)，需办理夜间施工许可证明，并公告附近社区居民。[易考案例，注意夜间施工的时间]</w:t>
      </w:r>
    </w:p>
    <w:p>
      <w:pPr>
        <w:pStyle w:val="6"/>
        <w:numPr>
          <w:ilvl w:val="0"/>
          <w:numId w:val="0"/>
        </w:numPr>
        <w:rPr>
          <w:rFonts w:hint="eastAsia"/>
          <w:sz w:val="21"/>
          <w:szCs w:val="21"/>
        </w:rPr>
      </w:pPr>
      <w:r>
        <w:rPr>
          <w:rFonts w:hint="eastAsia"/>
          <w:sz w:val="21"/>
          <w:szCs w:val="21"/>
        </w:rPr>
        <w:t>[ P73 ]现场临时用水包括生产用水、机械用水、生活用水和消防用水。[易考多选，会</w:t>
      </w:r>
      <w:r>
        <w:rPr>
          <w:rFonts w:hint="eastAsia"/>
          <w:sz w:val="21"/>
          <w:szCs w:val="21"/>
          <w:lang w:eastAsia="zh-CN"/>
        </w:rPr>
        <w:t>计</w:t>
      </w:r>
      <w:r>
        <w:rPr>
          <w:rFonts w:hint="eastAsia"/>
          <w:sz w:val="21"/>
          <w:szCs w:val="21"/>
        </w:rPr>
        <w:t>算]</w:t>
      </w:r>
    </w:p>
    <w:p>
      <w:pPr>
        <w:pStyle w:val="6"/>
        <w:numPr>
          <w:ilvl w:val="0"/>
          <w:numId w:val="0"/>
        </w:numPr>
        <w:rPr>
          <w:rFonts w:hint="eastAsia"/>
          <w:sz w:val="21"/>
          <w:szCs w:val="21"/>
        </w:rPr>
      </w:pPr>
      <w:r>
        <w:rPr>
          <w:rFonts w:hint="eastAsia"/>
          <w:sz w:val="21"/>
          <w:szCs w:val="21"/>
        </w:rPr>
        <w:t>[ P</w:t>
      </w:r>
      <w:r>
        <w:rPr>
          <w:rFonts w:hint="eastAsia"/>
          <w:sz w:val="21"/>
          <w:szCs w:val="21"/>
          <w:lang w:val="en-US" w:eastAsia="zh-CN"/>
        </w:rPr>
        <w:t>1</w:t>
      </w:r>
      <w:r>
        <w:rPr>
          <w:rFonts w:hint="eastAsia"/>
          <w:sz w:val="21"/>
          <w:szCs w:val="21"/>
        </w:rPr>
        <w:t>73 ]消防用水一股利用城市或建设单位的永久消防设施。如自行设计，消防干管直径应不小于 100mm，消火栓处昼夜要有明显标志，配备足够的水龙带，周围 3m 内不准存放物品。[易考单选]</w:t>
      </w:r>
    </w:p>
    <w:p>
      <w:pPr>
        <w:pStyle w:val="6"/>
        <w:numPr>
          <w:ilvl w:val="0"/>
          <w:numId w:val="0"/>
        </w:numPr>
        <w:rPr>
          <w:rFonts w:hint="eastAsia"/>
          <w:sz w:val="21"/>
          <w:szCs w:val="21"/>
        </w:rPr>
      </w:pPr>
      <w:r>
        <w:rPr>
          <w:rFonts w:hint="eastAsia"/>
          <w:sz w:val="21"/>
          <w:szCs w:val="21"/>
        </w:rPr>
        <w:t>[ P1</w:t>
      </w:r>
      <w:r>
        <w:rPr>
          <w:rFonts w:hint="eastAsia"/>
          <w:sz w:val="21"/>
          <w:szCs w:val="21"/>
          <w:lang w:val="en-US" w:eastAsia="zh-CN"/>
        </w:rPr>
        <w:t>73</w:t>
      </w:r>
      <w:r>
        <w:rPr>
          <w:rFonts w:hint="eastAsia"/>
          <w:sz w:val="21"/>
          <w:szCs w:val="21"/>
        </w:rPr>
        <w:t xml:space="preserve"> ]高度超过 24m的建筑工程,应安装临时消防竖管.管径不得小于75mm,严禁消防竖管作为施工用水管线每层必须设消火栓口，并配备足够的水龙带。[易考单选]</w:t>
      </w:r>
    </w:p>
    <w:p>
      <w:pPr>
        <w:pStyle w:val="6"/>
        <w:numPr>
          <w:ilvl w:val="0"/>
          <w:numId w:val="0"/>
        </w:numPr>
        <w:rPr>
          <w:rFonts w:hint="eastAsia"/>
          <w:sz w:val="21"/>
          <w:szCs w:val="21"/>
        </w:rPr>
      </w:pPr>
      <w:r>
        <w:rPr>
          <w:rFonts w:hint="eastAsia"/>
          <w:sz w:val="21"/>
          <w:szCs w:val="21"/>
        </w:rPr>
        <w:t>[P172 ]施工现场临时用电设备在 5 台及以上或设备总容量在 50kW 及以上者，应编制用电组织设计:否则应制定安全用电和电气防火措施。临时用电组织设计应由电气工程技术人员组织编制，经相关部门审核及具有法人资格企业的技术负责人批准后实施。使用前必须经编制、审核、批准部门和使用单位共同验收。合格后方可投入使用。[易考单选]</w:t>
      </w:r>
    </w:p>
    <w:p>
      <w:pPr>
        <w:pStyle w:val="6"/>
        <w:numPr>
          <w:ilvl w:val="0"/>
          <w:numId w:val="0"/>
        </w:numPr>
        <w:rPr>
          <w:rFonts w:hint="eastAsia"/>
          <w:sz w:val="21"/>
          <w:szCs w:val="21"/>
        </w:rPr>
      </w:pPr>
      <w:r>
        <w:rPr>
          <w:rFonts w:hint="eastAsia"/>
          <w:sz w:val="21"/>
          <w:szCs w:val="21"/>
        </w:rPr>
        <w:t>[ P</w:t>
      </w:r>
      <w:r>
        <w:rPr>
          <w:rFonts w:hint="eastAsia"/>
          <w:sz w:val="21"/>
          <w:szCs w:val="21"/>
          <w:lang w:val="en-US" w:eastAsia="zh-CN"/>
        </w:rPr>
        <w:t>1</w:t>
      </w:r>
      <w:r>
        <w:rPr>
          <w:rFonts w:hint="eastAsia"/>
          <w:sz w:val="21"/>
          <w:szCs w:val="21"/>
        </w:rPr>
        <w:t>73 ]安全标志分为警告标志、禁止标志、指令标志和提示标志四大类型。多个安全警示牌在一起布置时应按警告、禁止、指令、提示类型的顺序，先左后右、先上后下进行排列。各标志牌之间的距离至少应为标志牌尺寸的 0.2 倍。[易考多选，顺序]</w:t>
      </w:r>
    </w:p>
    <w:p>
      <w:pPr>
        <w:pStyle w:val="6"/>
        <w:numPr>
          <w:ilvl w:val="0"/>
          <w:numId w:val="0"/>
        </w:numPr>
        <w:rPr>
          <w:rFonts w:hint="eastAsia"/>
          <w:sz w:val="21"/>
          <w:szCs w:val="21"/>
        </w:rPr>
      </w:pPr>
      <w:r>
        <w:rPr>
          <w:rFonts w:hint="eastAsia"/>
          <w:sz w:val="21"/>
          <w:szCs w:val="21"/>
        </w:rPr>
        <w:t>[ P175 ]施工进度计划按编制对象的不同可分为总进度计划、单位工程进度计划、分阶段( 或专项工程) 工程进度计划、分部分项进度计划四种[易考案例</w:t>
      </w:r>
      <w:r>
        <w:rPr>
          <w:rFonts w:hint="eastAsia"/>
          <w:sz w:val="21"/>
          <w:szCs w:val="21"/>
          <w:lang w:eastAsia="zh-CN"/>
        </w:rPr>
        <w:t>简答</w:t>
      </w:r>
      <w:r>
        <w:rPr>
          <w:rFonts w:hint="eastAsia"/>
          <w:sz w:val="21"/>
          <w:szCs w:val="21"/>
        </w:rPr>
        <w:t>]。</w:t>
      </w:r>
    </w:p>
    <w:p>
      <w:pPr>
        <w:pStyle w:val="6"/>
        <w:numPr>
          <w:ilvl w:val="0"/>
          <w:numId w:val="0"/>
        </w:numPr>
        <w:rPr>
          <w:rFonts w:hint="eastAsia"/>
          <w:sz w:val="21"/>
          <w:szCs w:val="21"/>
        </w:rPr>
      </w:pPr>
      <w:r>
        <w:rPr>
          <w:rFonts w:hint="eastAsia"/>
          <w:sz w:val="21"/>
          <w:szCs w:val="21"/>
        </w:rPr>
        <w:t>[P18</w:t>
      </w:r>
      <w:r>
        <w:rPr>
          <w:rFonts w:hint="eastAsia"/>
          <w:sz w:val="21"/>
          <w:szCs w:val="21"/>
          <w:lang w:val="en-US" w:eastAsia="zh-CN"/>
        </w:rPr>
        <w:t>1</w:t>
      </w:r>
      <w:r>
        <w:rPr>
          <w:rFonts w:hint="eastAsia"/>
          <w:sz w:val="21"/>
          <w:szCs w:val="21"/>
        </w:rPr>
        <w:t>]进度计划变更可包括下列内容: 工程量或工作量; 工作的起止时间: 工作关系: 资源供应。[</w:t>
      </w:r>
      <w:r>
        <w:rPr>
          <w:rFonts w:hint="eastAsia"/>
          <w:sz w:val="21"/>
          <w:szCs w:val="21"/>
          <w:lang w:eastAsia="zh-CN"/>
        </w:rPr>
        <w:t>案</w:t>
      </w:r>
      <w:r>
        <w:rPr>
          <w:rFonts w:hint="eastAsia"/>
          <w:sz w:val="21"/>
          <w:szCs w:val="21"/>
        </w:rPr>
        <w:t>例简答]</w:t>
      </w:r>
    </w:p>
    <w:p>
      <w:pPr>
        <w:pStyle w:val="6"/>
        <w:numPr>
          <w:ilvl w:val="0"/>
          <w:numId w:val="0"/>
        </w:numPr>
        <w:rPr>
          <w:rFonts w:hint="eastAsia"/>
          <w:sz w:val="21"/>
          <w:szCs w:val="21"/>
        </w:rPr>
      </w:pPr>
      <w:r>
        <w:rPr>
          <w:rFonts w:hint="eastAsia"/>
          <w:sz w:val="21"/>
          <w:szCs w:val="21"/>
        </w:rPr>
        <w:t>[P177]流水施工的组织形式具体包括等节奏、异节奏和无节奏[易考案例,区分每种流水形式的特点]</w:t>
      </w:r>
    </w:p>
    <w:p>
      <w:pPr>
        <w:pStyle w:val="6"/>
        <w:numPr>
          <w:ilvl w:val="0"/>
          <w:numId w:val="0"/>
        </w:numPr>
        <w:rPr>
          <w:rFonts w:hint="eastAsia"/>
          <w:sz w:val="21"/>
          <w:szCs w:val="21"/>
        </w:rPr>
      </w:pPr>
      <w:r>
        <w:rPr>
          <w:rFonts w:hint="eastAsia"/>
          <w:sz w:val="21"/>
          <w:szCs w:val="21"/>
        </w:rPr>
        <w:t>[ P1</w:t>
      </w:r>
      <w:r>
        <w:rPr>
          <w:rFonts w:hint="eastAsia"/>
          <w:sz w:val="21"/>
          <w:szCs w:val="21"/>
          <w:lang w:val="en-US" w:eastAsia="zh-CN"/>
        </w:rPr>
        <w:t>82</w:t>
      </w:r>
      <w:r>
        <w:rPr>
          <w:rFonts w:hint="eastAsia"/>
          <w:sz w:val="21"/>
          <w:szCs w:val="21"/>
        </w:rPr>
        <w:t>]网络图的工期优化措施:压缩关键线路上的关键工作:选择优化对象应考虑的因素:对质量安全影响不大、备用资源</w:t>
      </w:r>
      <w:r>
        <w:rPr>
          <w:rFonts w:hint="eastAsia"/>
          <w:sz w:val="21"/>
          <w:szCs w:val="21"/>
          <w:lang w:eastAsia="zh-CN"/>
        </w:rPr>
        <w:t>充</w:t>
      </w:r>
      <w:r>
        <w:rPr>
          <w:rFonts w:hint="eastAsia"/>
          <w:sz w:val="21"/>
          <w:szCs w:val="21"/>
        </w:rPr>
        <w:t>足和费用最少。[易考多选]</w:t>
      </w:r>
    </w:p>
    <w:p>
      <w:pPr>
        <w:pStyle w:val="6"/>
        <w:numPr>
          <w:ilvl w:val="0"/>
          <w:numId w:val="0"/>
        </w:numPr>
        <w:rPr>
          <w:rFonts w:hint="eastAsia"/>
          <w:sz w:val="21"/>
          <w:szCs w:val="21"/>
        </w:rPr>
      </w:pPr>
      <w:r>
        <w:rPr>
          <w:rFonts w:hint="eastAsia"/>
          <w:sz w:val="21"/>
          <w:szCs w:val="21"/>
        </w:rPr>
        <w:t>[ P1</w:t>
      </w:r>
      <w:r>
        <w:rPr>
          <w:rFonts w:hint="eastAsia"/>
          <w:sz w:val="21"/>
          <w:szCs w:val="21"/>
          <w:lang w:val="en-US" w:eastAsia="zh-CN"/>
        </w:rPr>
        <w:t>85</w:t>
      </w:r>
      <w:r>
        <w:rPr>
          <w:rFonts w:hint="eastAsia"/>
          <w:sz w:val="21"/>
          <w:szCs w:val="21"/>
        </w:rPr>
        <w:t>]建筑材料的质量控制主要体现在以下四个环节: 材料的采购、材料进场试验检验、过程保管和材料使用[</w:t>
      </w:r>
      <w:r>
        <w:rPr>
          <w:rFonts w:hint="eastAsia"/>
          <w:sz w:val="21"/>
          <w:szCs w:val="21"/>
          <w:lang w:eastAsia="zh-CN"/>
        </w:rPr>
        <w:t>案</w:t>
      </w:r>
      <w:r>
        <w:rPr>
          <w:rFonts w:hint="eastAsia"/>
          <w:sz w:val="21"/>
          <w:szCs w:val="21"/>
        </w:rPr>
        <w:t xml:space="preserve">例简答题] </w:t>
      </w:r>
    </w:p>
    <w:p>
      <w:pPr>
        <w:pStyle w:val="6"/>
        <w:numPr>
          <w:ilvl w:val="0"/>
          <w:numId w:val="0"/>
        </w:numPr>
        <w:rPr>
          <w:rFonts w:hint="eastAsia"/>
          <w:sz w:val="21"/>
          <w:szCs w:val="21"/>
        </w:rPr>
      </w:pPr>
      <w:r>
        <w:rPr>
          <w:rFonts w:hint="eastAsia"/>
          <w:sz w:val="21"/>
          <w:szCs w:val="21"/>
        </w:rPr>
        <w:t>[P1</w:t>
      </w:r>
      <w:r>
        <w:rPr>
          <w:rFonts w:hint="eastAsia"/>
          <w:sz w:val="21"/>
          <w:szCs w:val="21"/>
          <w:lang w:val="en-US" w:eastAsia="zh-CN"/>
        </w:rPr>
        <w:t>91</w:t>
      </w:r>
      <w:r>
        <w:rPr>
          <w:rFonts w:hint="eastAsia"/>
          <w:sz w:val="21"/>
          <w:szCs w:val="21"/>
        </w:rPr>
        <w:t>]模板支撑系统立柱接长严禁搭接。必须采用对接扣件连接。相邻两立柱的对接接头不得在同步内，且对接接头沿竖向错开的距离不宜小于 500mm。严禁将上段的钢管立柱与下段钢管立柱错开固定在水平拉杆上。[</w:t>
      </w:r>
      <w:r>
        <w:rPr>
          <w:rFonts w:hint="eastAsia"/>
          <w:sz w:val="21"/>
          <w:szCs w:val="21"/>
          <w:lang w:eastAsia="zh-CN"/>
        </w:rPr>
        <w:t>案</w:t>
      </w:r>
      <w:r>
        <w:rPr>
          <w:rFonts w:hint="eastAsia"/>
          <w:sz w:val="21"/>
          <w:szCs w:val="21"/>
        </w:rPr>
        <w:t xml:space="preserve">例，改错] </w:t>
      </w:r>
    </w:p>
    <w:p>
      <w:pPr>
        <w:pStyle w:val="6"/>
        <w:numPr>
          <w:ilvl w:val="0"/>
          <w:numId w:val="0"/>
        </w:numPr>
        <w:rPr>
          <w:rFonts w:hint="eastAsia" w:eastAsia="宋体"/>
          <w:sz w:val="21"/>
          <w:szCs w:val="21"/>
          <w:lang w:eastAsia="zh-CN"/>
        </w:rPr>
      </w:pPr>
      <w:r>
        <w:rPr>
          <w:rFonts w:hint="eastAsia"/>
          <w:sz w:val="21"/>
          <w:szCs w:val="21"/>
        </w:rPr>
        <w:t>[P1</w:t>
      </w:r>
      <w:r>
        <w:rPr>
          <w:rFonts w:hint="eastAsia"/>
          <w:sz w:val="21"/>
          <w:szCs w:val="21"/>
          <w:lang w:val="en-US" w:eastAsia="zh-CN"/>
        </w:rPr>
        <w:t>92</w:t>
      </w:r>
      <w:r>
        <w:rPr>
          <w:rFonts w:hint="eastAsia"/>
          <w:sz w:val="21"/>
          <w:szCs w:val="21"/>
        </w:rPr>
        <w:t>]经产品认证符合要求的钢筋，其检验批量可扩大一倍。在同一工程项目中，同一厂家、同一牌号、同·规格的钢筋(同一钢筋来源的成型钢筋) 连续三批进场检验均一次检验合格时，其后的检验批量可扩大一倍。同一工程、同一原材料来源、同一组生产设备生产的成型钢筋，检验批量不宜大于 30</w:t>
      </w:r>
      <w:r>
        <w:rPr>
          <w:rFonts w:hint="eastAsia"/>
          <w:sz w:val="21"/>
          <w:szCs w:val="21"/>
          <w:lang w:val="en-US" w:eastAsia="zh-CN"/>
        </w:rPr>
        <w:t>t</w:t>
      </w:r>
      <w:r>
        <w:rPr>
          <w:rFonts w:hint="eastAsia"/>
          <w:sz w:val="21"/>
          <w:szCs w:val="21"/>
        </w:rPr>
        <w:t>[</w:t>
      </w:r>
      <w:r>
        <w:rPr>
          <w:rFonts w:hint="eastAsia"/>
          <w:sz w:val="21"/>
          <w:szCs w:val="21"/>
          <w:lang w:eastAsia="zh-CN"/>
        </w:rPr>
        <w:t>案</w:t>
      </w:r>
      <w:r>
        <w:rPr>
          <w:rFonts w:hint="eastAsia"/>
          <w:sz w:val="21"/>
          <w:szCs w:val="21"/>
        </w:rPr>
        <w:t xml:space="preserve">例] </w:t>
      </w:r>
    </w:p>
    <w:p>
      <w:pPr>
        <w:pStyle w:val="6"/>
        <w:numPr>
          <w:ilvl w:val="0"/>
          <w:numId w:val="0"/>
        </w:numPr>
        <w:rPr>
          <w:rFonts w:hint="eastAsia"/>
          <w:sz w:val="21"/>
          <w:szCs w:val="21"/>
        </w:rPr>
      </w:pPr>
      <w:r>
        <w:rPr>
          <w:rFonts w:hint="eastAsia"/>
          <w:sz w:val="21"/>
          <w:szCs w:val="21"/>
        </w:rPr>
        <w:t>[P1</w:t>
      </w:r>
      <w:r>
        <w:rPr>
          <w:rFonts w:hint="eastAsia"/>
          <w:sz w:val="21"/>
          <w:szCs w:val="21"/>
          <w:lang w:val="en-US" w:eastAsia="zh-CN"/>
        </w:rPr>
        <w:t>97</w:t>
      </w:r>
      <w:r>
        <w:rPr>
          <w:rFonts w:hint="eastAsia"/>
          <w:sz w:val="21"/>
          <w:szCs w:val="21"/>
        </w:rPr>
        <w:t xml:space="preserve">]对属于下列情况之一的钢材，应进行全数抽样复验: (1) 国外进口钢材: (2) 钢材混批; (3)板厚等于或大于 40mm.且设计有Z 向性能要求的厚板: (4)建筑结构安全等级为一级，大跨度钢结构中主要受力构件所采用的钢材: (5) 设计有复验要求的钢材:(6)对质量有疑义的钢材。[案例，简答] </w:t>
      </w:r>
    </w:p>
    <w:p>
      <w:pPr>
        <w:pStyle w:val="6"/>
        <w:numPr>
          <w:ilvl w:val="0"/>
          <w:numId w:val="0"/>
        </w:numPr>
        <w:rPr>
          <w:rFonts w:hint="eastAsia"/>
          <w:sz w:val="21"/>
          <w:szCs w:val="21"/>
        </w:rPr>
      </w:pPr>
      <w:r>
        <w:rPr>
          <w:rFonts w:hint="eastAsia"/>
          <w:sz w:val="21"/>
          <w:szCs w:val="21"/>
        </w:rPr>
        <w:t>[ P</w:t>
      </w:r>
      <w:r>
        <w:rPr>
          <w:rFonts w:hint="eastAsia"/>
          <w:sz w:val="21"/>
          <w:szCs w:val="21"/>
          <w:lang w:val="en-US" w:eastAsia="zh-CN"/>
        </w:rPr>
        <w:t>215</w:t>
      </w:r>
      <w:r>
        <w:rPr>
          <w:rFonts w:hint="eastAsia"/>
          <w:sz w:val="21"/>
          <w:szCs w:val="21"/>
        </w:rPr>
        <w:t>]脚手架立杆基础不在同一高度上时，必须将高处的纵向扫地杆向低处延长两跨与立杆周定，高低差不应大于 1m。靠边坡上方的立杆轴线到边坡的距离不应小于 500mm。脚手架必须设置纵、横向扫地杆。纵向扫地杆应采用直角扣件固定在距底座上皮不大于 200mm 处的立杆上，横向扫地杆亦应采用直角扣件固定在紧靠纵向扫地杆下方的立杆上(纵上横下)。[易考多选]</w:t>
      </w:r>
    </w:p>
    <w:p>
      <w:pPr>
        <w:pStyle w:val="6"/>
        <w:numPr>
          <w:ilvl w:val="0"/>
          <w:numId w:val="0"/>
        </w:numPr>
        <w:rPr>
          <w:rFonts w:hint="eastAsia"/>
          <w:sz w:val="21"/>
          <w:szCs w:val="21"/>
        </w:rPr>
      </w:pPr>
      <w:r>
        <w:rPr>
          <w:rFonts w:hint="eastAsia"/>
          <w:sz w:val="21"/>
          <w:szCs w:val="21"/>
        </w:rPr>
        <w:t>[P215]</w:t>
      </w:r>
      <w:r>
        <w:rPr>
          <w:rFonts w:hint="eastAsia"/>
          <w:sz w:val="21"/>
          <w:szCs w:val="21"/>
          <w:lang w:val="en-US" w:eastAsia="zh-CN"/>
        </w:rPr>
        <w:t>1.</w:t>
      </w:r>
      <w:r>
        <w:rPr>
          <w:rFonts w:hint="eastAsia"/>
          <w:sz w:val="21"/>
          <w:szCs w:val="21"/>
        </w:rPr>
        <w:t>每道剪刀撑的宽度应为 4 ~ 6 跨，且不应小于 6m，也不应大于 9m;剪刀撑斜杆与水平面的倾角应在45° ~ 60°之间;2</w:t>
      </w:r>
      <w:r>
        <w:rPr>
          <w:rFonts w:hint="eastAsia"/>
          <w:sz w:val="21"/>
          <w:szCs w:val="21"/>
          <w:lang w:val="en-US" w:eastAsia="zh-CN"/>
        </w:rPr>
        <w:t>.</w:t>
      </w:r>
      <w:r>
        <w:rPr>
          <w:rFonts w:hint="eastAsia"/>
          <w:sz w:val="21"/>
          <w:szCs w:val="21"/>
        </w:rPr>
        <w:t>当搭设高度在 24m 以下时，应在架体两端、转角及中间每隔不超过 15m 各设置道剪刀撑，并应由底至顶连续设置:当搭设高度在 24m 及以上时，应在全外侧立面上由底至顶连续设置:3</w:t>
      </w:r>
      <w:r>
        <w:rPr>
          <w:rFonts w:hint="eastAsia"/>
          <w:sz w:val="21"/>
          <w:szCs w:val="21"/>
          <w:lang w:val="en-US" w:eastAsia="zh-CN"/>
        </w:rPr>
        <w:t>.</w:t>
      </w:r>
      <w:r>
        <w:rPr>
          <w:rFonts w:hint="eastAsia"/>
          <w:sz w:val="21"/>
          <w:szCs w:val="21"/>
        </w:rPr>
        <w:t>悬挑脚手架、附着式升降脚手架应在全外侧立面上由底至顶连续设置。[ 2023 年教材修改][易考案例.改错]</w:t>
      </w:r>
    </w:p>
    <w:p>
      <w:pPr>
        <w:pStyle w:val="6"/>
        <w:numPr>
          <w:ilvl w:val="0"/>
          <w:numId w:val="0"/>
        </w:numPr>
        <w:rPr>
          <w:rFonts w:hint="eastAsia"/>
          <w:sz w:val="21"/>
          <w:szCs w:val="21"/>
        </w:rPr>
      </w:pPr>
      <w:r>
        <w:rPr>
          <w:rFonts w:hint="eastAsia"/>
          <w:sz w:val="21"/>
          <w:szCs w:val="21"/>
        </w:rPr>
        <w:t>[ P215]连墙点的水平间距不得超过 3 跨，竖向间距不得超过3 步，连墙点之上架体的悬警高度不应超过 2步[ 2023 年教材修改] [易考案例，改错]</w:t>
      </w:r>
    </w:p>
    <w:p>
      <w:pPr>
        <w:pStyle w:val="6"/>
        <w:numPr>
          <w:ilvl w:val="0"/>
          <w:numId w:val="0"/>
        </w:numPr>
        <w:rPr>
          <w:rFonts w:hint="eastAsia"/>
          <w:sz w:val="21"/>
          <w:szCs w:val="21"/>
        </w:rPr>
      </w:pPr>
      <w:r>
        <w:rPr>
          <w:rFonts w:hint="eastAsia"/>
          <w:sz w:val="21"/>
          <w:szCs w:val="21"/>
        </w:rPr>
        <w:t>[P215]开口型脚手架的两端必须设置连墙件，连墙件的垂直间距不应大于建筑物的层高，并不应大于 4m,连墙件应从架体底层第一步纵向水平杆处开始设置。[易考单选，位置]</w:t>
      </w:r>
    </w:p>
    <w:p>
      <w:pPr>
        <w:pStyle w:val="6"/>
        <w:numPr>
          <w:ilvl w:val="0"/>
          <w:numId w:val="0"/>
        </w:numPr>
        <w:rPr>
          <w:rFonts w:hint="eastAsia"/>
          <w:sz w:val="21"/>
          <w:szCs w:val="21"/>
        </w:rPr>
      </w:pPr>
      <w:r>
        <w:rPr>
          <w:rFonts w:hint="eastAsia"/>
          <w:sz w:val="21"/>
          <w:szCs w:val="21"/>
        </w:rPr>
        <w:t>[P71 ]现场拌制的砂浆应随拌随用，拌制的砂浆应在 3h 内使用完毕;当施工期间最高气温超过 30C时，应在 2h 内使用完毕。</w:t>
      </w:r>
    </w:p>
    <w:p>
      <w:pPr>
        <w:pStyle w:val="6"/>
        <w:numPr>
          <w:ilvl w:val="0"/>
          <w:numId w:val="0"/>
        </w:numPr>
        <w:rPr>
          <w:rFonts w:hint="eastAsia"/>
          <w:sz w:val="21"/>
          <w:szCs w:val="21"/>
        </w:rPr>
      </w:pPr>
      <w:r>
        <w:rPr>
          <w:rFonts w:hint="eastAsia"/>
          <w:sz w:val="21"/>
          <w:szCs w:val="21"/>
        </w:rPr>
        <w:t>基坑工程周围环境监测包括: (1) 坑外地形的变形监测: (2) 邻近建筑物的沉降和倾斜监测:(3) 地下管线的沉降和位移监测等。[案例，简答 ]</w:t>
      </w:r>
    </w:p>
    <w:p>
      <w:pPr>
        <w:pStyle w:val="6"/>
        <w:numPr>
          <w:ilvl w:val="0"/>
          <w:numId w:val="0"/>
        </w:numPr>
        <w:rPr>
          <w:rFonts w:hint="eastAsia"/>
          <w:sz w:val="21"/>
          <w:szCs w:val="21"/>
        </w:rPr>
      </w:pPr>
      <w:r>
        <w:rPr>
          <w:rFonts w:hint="eastAsia"/>
          <w:sz w:val="21"/>
          <w:szCs w:val="21"/>
        </w:rPr>
        <w:t>[P216]脚手架搭设过程中，应在下列阶段进行检查，检查合格后方可使用:不合格应进行整改，整改合格后方可使用:</w:t>
      </w:r>
      <w:r>
        <w:rPr>
          <w:rFonts w:hint="eastAsia"/>
          <w:sz w:val="21"/>
          <w:szCs w:val="21"/>
          <w:lang w:val="en-US" w:eastAsia="zh-CN"/>
        </w:rPr>
        <w:t>1</w:t>
      </w:r>
      <w:r>
        <w:rPr>
          <w:rFonts w:hint="eastAsia"/>
          <w:sz w:val="21"/>
          <w:szCs w:val="21"/>
        </w:rPr>
        <w:t>基础完工后及脚手架搭设前:2首层水平杆搭设后:3作业脚手架每搭设一个楼层高度:4附着式升降脚手架支座、悬挑脚手架悬挑结构搭设固定后:5附着式升降脚手架在每次提升前、提升就位后，以及每次下降前、下降就位后:6外挂防护架在首次安装完毕、每次提升前、提升就位后;</w:t>
      </w:r>
      <w:r>
        <w:rPr>
          <w:rFonts w:hint="eastAsia"/>
          <w:sz w:val="21"/>
          <w:szCs w:val="21"/>
          <w:lang w:val="en-US" w:eastAsia="zh-CN"/>
        </w:rPr>
        <w:t>7.</w:t>
      </w:r>
      <w:r>
        <w:rPr>
          <w:rFonts w:hint="eastAsia"/>
          <w:sz w:val="21"/>
          <w:szCs w:val="21"/>
        </w:rPr>
        <w:t>搭设支撑脚手架，高度每 2 ~ 4 步或不大于 6m。[</w:t>
      </w:r>
      <w:r>
        <w:rPr>
          <w:rFonts w:hint="eastAsia"/>
          <w:sz w:val="21"/>
          <w:szCs w:val="21"/>
          <w:lang w:eastAsia="zh-CN"/>
        </w:rPr>
        <w:t>案</w:t>
      </w:r>
      <w:r>
        <w:rPr>
          <w:rFonts w:hint="eastAsia"/>
          <w:sz w:val="21"/>
          <w:szCs w:val="21"/>
        </w:rPr>
        <w:t>例，简答]</w:t>
      </w:r>
    </w:p>
    <w:p>
      <w:pPr>
        <w:pStyle w:val="6"/>
        <w:numPr>
          <w:ilvl w:val="0"/>
          <w:numId w:val="0"/>
        </w:numPr>
        <w:rPr>
          <w:rFonts w:hint="eastAsia"/>
          <w:sz w:val="21"/>
          <w:szCs w:val="21"/>
        </w:rPr>
      </w:pPr>
      <w:r>
        <w:rPr>
          <w:rFonts w:hint="eastAsia"/>
          <w:sz w:val="21"/>
          <w:szCs w:val="21"/>
        </w:rPr>
        <w:t>[ P220]移动式操作平台台面不得超过 10m高度不得超过5m台面脚手板要铺满钉牢,台面四周设置防护栏杆平台移动时，作业人员必须下到地面，不允许带人移动平台。[易考单选]</w:t>
      </w:r>
    </w:p>
    <w:p>
      <w:pPr>
        <w:pStyle w:val="6"/>
        <w:numPr>
          <w:ilvl w:val="0"/>
          <w:numId w:val="0"/>
        </w:numPr>
        <w:rPr>
          <w:rFonts w:hint="eastAsia"/>
          <w:sz w:val="21"/>
          <w:szCs w:val="21"/>
        </w:rPr>
      </w:pPr>
      <w:r>
        <w:rPr>
          <w:rFonts w:hint="eastAsia"/>
          <w:sz w:val="21"/>
          <w:szCs w:val="21"/>
        </w:rPr>
        <w:t>[ P221]在拆除模板、脚手架等作业时，作业点下方不得有其他作业人员，防止落物伤人。拆下的模板等堆放时不能过于靠近楼层边沿，应与楼层边沿留出不小于 lm 的安全距离，码放高度也不得超过 1m。[易考单选]</w:t>
      </w:r>
    </w:p>
    <w:p>
      <w:pPr>
        <w:pStyle w:val="6"/>
        <w:numPr>
          <w:ilvl w:val="0"/>
          <w:numId w:val="0"/>
        </w:numPr>
        <w:rPr>
          <w:rFonts w:hint="eastAsia"/>
          <w:sz w:val="21"/>
          <w:szCs w:val="21"/>
        </w:rPr>
      </w:pPr>
      <w:r>
        <w:rPr>
          <w:rFonts w:hint="eastAsia"/>
          <w:sz w:val="21"/>
          <w:szCs w:val="21"/>
        </w:rPr>
        <w:t>[P221] 楼板、屋面和平台等面上短边尺寸在 2.5 ~ 25m 范围的孔口，必须用坚实的盖板盖严，盖板要有防止挪动移位的固定措施。楼板面等处边长为 25 ~ 50m 的洞口、安装预制构件时的洞口以及因缺件临时形成的洞口，可用竹、木等作盖板，盖住洞口，盖板要保持四周搁置均衡，并有固定其位置不发生挪动移位的措施。边长为 50  150m 的洞口，必须设置一层以扣件扣接钢管而成的网格栅，并在其上满铺竹笆或脚手板，也可采用贯穿于混凝土板内的钢筋构成防护网栅，钢筋网格间距不得大于 20cm。边长在150cm 以上的洞口，四周必须设防护栏杆，洞口下张设安全平网防护。[案例]</w:t>
      </w:r>
    </w:p>
    <w:p>
      <w:pPr>
        <w:pStyle w:val="6"/>
        <w:numPr>
          <w:ilvl w:val="0"/>
          <w:numId w:val="0"/>
        </w:numPr>
        <w:rPr>
          <w:rFonts w:hint="eastAsia"/>
          <w:sz w:val="21"/>
          <w:szCs w:val="21"/>
        </w:rPr>
      </w:pPr>
      <w:r>
        <w:rPr>
          <w:rFonts w:hint="eastAsia"/>
          <w:sz w:val="21"/>
          <w:szCs w:val="21"/>
        </w:rPr>
        <w:t xml:space="preserve">[P222 ]防护栏杆应由上、下两道横杆及栏杆柱组成，上杆离地高度为 1.0 </w:t>
      </w:r>
      <w:r>
        <w:rPr>
          <w:rFonts w:hint="eastAsia"/>
          <w:sz w:val="21"/>
          <w:szCs w:val="21"/>
          <w:lang w:val="en-US" w:eastAsia="zh-CN"/>
        </w:rPr>
        <w:t>-</w:t>
      </w:r>
      <w:r>
        <w:rPr>
          <w:rFonts w:hint="eastAsia"/>
          <w:sz w:val="21"/>
          <w:szCs w:val="21"/>
        </w:rPr>
        <w:t xml:space="preserve"> 1.2m下杆离地高度为 0.5  </w:t>
      </w:r>
      <w:r>
        <w:rPr>
          <w:rFonts w:hint="eastAsia"/>
          <w:sz w:val="21"/>
          <w:szCs w:val="21"/>
          <w:lang w:val="en-US" w:eastAsia="zh-CN"/>
        </w:rPr>
        <w:t>-</w:t>
      </w:r>
      <w:r>
        <w:rPr>
          <w:rFonts w:hint="eastAsia"/>
          <w:sz w:val="21"/>
          <w:szCs w:val="21"/>
        </w:rPr>
        <w:t>0.</w:t>
      </w:r>
      <w:r>
        <w:rPr>
          <w:rFonts w:hint="eastAsia"/>
          <w:sz w:val="21"/>
          <w:szCs w:val="21"/>
          <w:lang w:val="en-US" w:eastAsia="zh-CN"/>
        </w:rPr>
        <w:t>6</w:t>
      </w:r>
      <w:r>
        <w:rPr>
          <w:rFonts w:hint="eastAsia"/>
          <w:sz w:val="21"/>
          <w:szCs w:val="21"/>
        </w:rPr>
        <w:t>m除经计算外，横杆长度大于 2m 时，必须加设栏杆柱。[易考</w:t>
      </w:r>
      <w:r>
        <w:rPr>
          <w:rFonts w:hint="eastAsia"/>
          <w:sz w:val="21"/>
          <w:szCs w:val="21"/>
          <w:lang w:eastAsia="zh-CN"/>
        </w:rPr>
        <w:t>案</w:t>
      </w:r>
      <w:r>
        <w:rPr>
          <w:rFonts w:hint="eastAsia"/>
          <w:sz w:val="21"/>
          <w:szCs w:val="21"/>
        </w:rPr>
        <w:t>例，改错]</w:t>
      </w:r>
    </w:p>
    <w:p>
      <w:pPr>
        <w:pStyle w:val="6"/>
        <w:numPr>
          <w:ilvl w:val="0"/>
          <w:numId w:val="0"/>
        </w:numPr>
        <w:rPr>
          <w:rFonts w:hint="eastAsia"/>
          <w:sz w:val="21"/>
          <w:szCs w:val="21"/>
        </w:rPr>
      </w:pPr>
      <w:r>
        <w:rPr>
          <w:rFonts w:hint="eastAsia"/>
          <w:sz w:val="21"/>
          <w:szCs w:val="21"/>
        </w:rPr>
        <w:t>[P22</w:t>
      </w:r>
      <w:r>
        <w:rPr>
          <w:rFonts w:hint="eastAsia"/>
          <w:sz w:val="21"/>
          <w:szCs w:val="21"/>
          <w:lang w:val="en-US" w:eastAsia="zh-CN"/>
        </w:rPr>
        <w:t>4</w:t>
      </w:r>
      <w:r>
        <w:rPr>
          <w:rFonts w:hint="eastAsia"/>
          <w:sz w:val="21"/>
          <w:szCs w:val="21"/>
        </w:rPr>
        <w:t xml:space="preserve"> ]为保证物料提升机整体稳定采用缆风绳时，高度在 2m 以下可设 1组 (不少于 4 根 )，高度在 30m 以下不少于 2 组，超过 30m 时不应采用缆风绳锚固方法，应采用连墙杆等刚性措施。[</w:t>
      </w:r>
      <w:r>
        <w:rPr>
          <w:rFonts w:hint="eastAsia"/>
          <w:sz w:val="21"/>
          <w:szCs w:val="21"/>
          <w:lang w:eastAsia="zh-CN"/>
        </w:rPr>
        <w:t>案例</w:t>
      </w:r>
      <w:r>
        <w:rPr>
          <w:rFonts w:hint="eastAsia"/>
          <w:sz w:val="21"/>
          <w:szCs w:val="21"/>
        </w:rPr>
        <w:t>改错]</w:t>
      </w:r>
    </w:p>
    <w:p>
      <w:pPr>
        <w:pStyle w:val="6"/>
        <w:numPr>
          <w:ilvl w:val="0"/>
          <w:numId w:val="0"/>
        </w:numPr>
        <w:rPr>
          <w:rFonts w:hint="eastAsia"/>
          <w:sz w:val="21"/>
          <w:szCs w:val="21"/>
        </w:rPr>
      </w:pPr>
      <w:r>
        <w:rPr>
          <w:rFonts w:hint="eastAsia"/>
          <w:sz w:val="21"/>
          <w:szCs w:val="21"/>
        </w:rPr>
        <w:t>[P2</w:t>
      </w:r>
      <w:r>
        <w:rPr>
          <w:rFonts w:hint="eastAsia"/>
          <w:sz w:val="21"/>
          <w:szCs w:val="21"/>
          <w:lang w:val="en-US" w:eastAsia="zh-CN"/>
        </w:rPr>
        <w:t>31</w:t>
      </w:r>
      <w:r>
        <w:rPr>
          <w:rFonts w:hint="eastAsia"/>
          <w:sz w:val="21"/>
          <w:szCs w:val="21"/>
        </w:rPr>
        <w:t xml:space="preserve"> ]高处作业检查评定项目: 安全帽、安全网、安全带;攀登作业、悬空作业、临边防护:洞口防护、通道口防护: 移动式操作平台、悬挑式物料钢平台。(三宝、两口、两平台: 攀、悬、临)[案例简</w:t>
      </w:r>
      <w:r>
        <w:rPr>
          <w:rFonts w:hint="eastAsia"/>
          <w:sz w:val="21"/>
          <w:szCs w:val="21"/>
          <w:lang w:eastAsia="zh-CN"/>
        </w:rPr>
        <w:t>答</w:t>
      </w:r>
      <w:r>
        <w:rPr>
          <w:rFonts w:hint="eastAsia"/>
          <w:sz w:val="21"/>
          <w:szCs w:val="21"/>
        </w:rPr>
        <w:t>]</w:t>
      </w:r>
    </w:p>
    <w:p>
      <w:pPr>
        <w:pStyle w:val="6"/>
        <w:numPr>
          <w:ilvl w:val="0"/>
          <w:numId w:val="0"/>
        </w:numPr>
        <w:rPr>
          <w:rFonts w:hint="eastAsia"/>
          <w:sz w:val="21"/>
          <w:szCs w:val="21"/>
        </w:rPr>
      </w:pPr>
      <w:r>
        <w:rPr>
          <w:rFonts w:hint="eastAsia"/>
          <w:sz w:val="21"/>
          <w:szCs w:val="21"/>
        </w:rPr>
        <w:t>[ P22</w:t>
      </w:r>
      <w:r>
        <w:rPr>
          <w:rFonts w:hint="eastAsia"/>
          <w:sz w:val="21"/>
          <w:szCs w:val="21"/>
          <w:lang w:val="en-US" w:eastAsia="zh-CN"/>
        </w:rPr>
        <w:t>3</w:t>
      </w:r>
      <w:r>
        <w:rPr>
          <w:rFonts w:hint="eastAsia"/>
          <w:sz w:val="21"/>
          <w:szCs w:val="21"/>
        </w:rPr>
        <w:t xml:space="preserve">]施工用电配电系统应设置总配电箱( 配电柜)、分配电箱、开关箱,并按照”总 -分 - ”顺序做分级设置形成“三级配电”模式。[易考单选 ] </w:t>
      </w:r>
    </w:p>
    <w:p>
      <w:pPr>
        <w:pStyle w:val="6"/>
        <w:numPr>
          <w:ilvl w:val="0"/>
          <w:numId w:val="0"/>
        </w:numPr>
        <w:rPr>
          <w:rFonts w:hint="eastAsia"/>
          <w:sz w:val="21"/>
          <w:szCs w:val="21"/>
        </w:rPr>
      </w:pPr>
      <w:r>
        <w:rPr>
          <w:rFonts w:hint="eastAsia"/>
          <w:sz w:val="21"/>
          <w:szCs w:val="21"/>
        </w:rPr>
        <w:t>[ P22</w:t>
      </w:r>
      <w:r>
        <w:rPr>
          <w:rFonts w:hint="eastAsia"/>
          <w:sz w:val="21"/>
          <w:szCs w:val="21"/>
          <w:lang w:val="en-US" w:eastAsia="zh-CN"/>
        </w:rPr>
        <w:t>4</w:t>
      </w:r>
      <w:r>
        <w:rPr>
          <w:rFonts w:hint="eastAsia"/>
          <w:sz w:val="21"/>
          <w:szCs w:val="21"/>
        </w:rPr>
        <w:t>]外用电梯笼周围 2.5m 范围内必须设置牢固的防护栏杆，进出口处的上部应根据电梯高度搭设足够尺寸和强度的防护棚。[易考单选]</w:t>
      </w:r>
    </w:p>
    <w:p>
      <w:pPr>
        <w:pStyle w:val="6"/>
        <w:numPr>
          <w:ilvl w:val="0"/>
          <w:numId w:val="0"/>
        </w:numPr>
        <w:rPr>
          <w:rFonts w:hint="eastAsia"/>
          <w:sz w:val="21"/>
          <w:szCs w:val="21"/>
        </w:rPr>
      </w:pPr>
      <w:r>
        <w:rPr>
          <w:rFonts w:hint="eastAsia"/>
          <w:sz w:val="21"/>
          <w:szCs w:val="21"/>
        </w:rPr>
        <w:t>[ P22</w:t>
      </w:r>
      <w:r>
        <w:rPr>
          <w:rFonts w:hint="eastAsia"/>
          <w:sz w:val="21"/>
          <w:szCs w:val="21"/>
          <w:lang w:val="en-US" w:eastAsia="zh-CN"/>
        </w:rPr>
        <w:t>5</w:t>
      </w:r>
      <w:r>
        <w:rPr>
          <w:rFonts w:hint="eastAsia"/>
          <w:sz w:val="21"/>
          <w:szCs w:val="21"/>
        </w:rPr>
        <w:t>]外用电梯与各层站过桥和运输通道，除应在两侧设置安全防护栏杆、挡脚板并用安全立网封闭外。进出口处尚应设置常闭型的防护门。</w:t>
      </w:r>
    </w:p>
    <w:p>
      <w:pPr>
        <w:pStyle w:val="6"/>
        <w:numPr>
          <w:ilvl w:val="0"/>
          <w:numId w:val="0"/>
        </w:numPr>
        <w:rPr>
          <w:rFonts w:hint="eastAsia"/>
          <w:sz w:val="21"/>
          <w:szCs w:val="21"/>
        </w:rPr>
      </w:pPr>
      <w:r>
        <w:rPr>
          <w:rFonts w:hint="eastAsia"/>
          <w:sz w:val="21"/>
          <w:szCs w:val="21"/>
        </w:rPr>
        <w:t>[ P22</w:t>
      </w:r>
      <w:r>
        <w:rPr>
          <w:rFonts w:hint="eastAsia"/>
          <w:sz w:val="21"/>
          <w:szCs w:val="21"/>
          <w:lang w:val="en-US" w:eastAsia="zh-CN"/>
        </w:rPr>
        <w:t>3</w:t>
      </w:r>
      <w:r>
        <w:rPr>
          <w:rFonts w:hint="eastAsia"/>
          <w:sz w:val="21"/>
          <w:szCs w:val="21"/>
        </w:rPr>
        <w:t>]总配电箱( 配电柜)中应加装总漏电保护器,作为初级漏电保护,末级漏电保护器必须装配在开关箱内[易考单选]</w:t>
      </w:r>
    </w:p>
    <w:p>
      <w:pPr>
        <w:pStyle w:val="6"/>
        <w:numPr>
          <w:ilvl w:val="0"/>
          <w:numId w:val="0"/>
        </w:numPr>
        <w:rPr>
          <w:rFonts w:hint="eastAsia"/>
          <w:sz w:val="21"/>
          <w:szCs w:val="21"/>
        </w:rPr>
      </w:pPr>
      <w:r>
        <w:rPr>
          <w:rFonts w:hint="eastAsia"/>
          <w:sz w:val="21"/>
          <w:szCs w:val="21"/>
        </w:rPr>
        <w:t>[P22</w:t>
      </w:r>
      <w:r>
        <w:rPr>
          <w:rFonts w:hint="eastAsia"/>
          <w:sz w:val="21"/>
          <w:szCs w:val="21"/>
          <w:lang w:val="en-US" w:eastAsia="zh-CN"/>
        </w:rPr>
        <w:t>3</w:t>
      </w:r>
      <w:r>
        <w:rPr>
          <w:rFonts w:hint="eastAsia"/>
          <w:sz w:val="21"/>
          <w:szCs w:val="21"/>
        </w:rPr>
        <w:t xml:space="preserve"> ]隧道、人防工程、高温、有导电灰尘、比较潮湿或灯具离地面高度低于 2.5m 等场所的照明，电源电压不应大于 36v: 潮湿和易触及带电体场所的照明，电源电压不得大于 24v; 特别潮湿场所、导电良好的地面、锅炉或金属容器内的照明，电源电压不得大于 12v。[易考多选]</w:t>
      </w:r>
    </w:p>
    <w:p>
      <w:pPr>
        <w:pStyle w:val="6"/>
        <w:numPr>
          <w:ilvl w:val="0"/>
          <w:numId w:val="0"/>
        </w:numPr>
        <w:rPr>
          <w:rFonts w:hint="eastAsia"/>
          <w:sz w:val="21"/>
          <w:szCs w:val="21"/>
        </w:rPr>
      </w:pPr>
      <w:r>
        <w:rPr>
          <w:rFonts w:hint="eastAsia"/>
          <w:sz w:val="21"/>
          <w:szCs w:val="21"/>
        </w:rPr>
        <w:t>[P22</w:t>
      </w:r>
      <w:r>
        <w:rPr>
          <w:rFonts w:hint="eastAsia"/>
          <w:sz w:val="21"/>
          <w:szCs w:val="21"/>
          <w:lang w:val="en-US" w:eastAsia="zh-CN"/>
        </w:rPr>
        <w:t>3</w:t>
      </w:r>
      <w:r>
        <w:rPr>
          <w:rFonts w:hint="eastAsia"/>
          <w:sz w:val="21"/>
          <w:szCs w:val="21"/>
        </w:rPr>
        <w:t>]施工现场所有的用电设备必须有各自专用的开关箱。[易考单选]</w:t>
      </w:r>
    </w:p>
    <w:p>
      <w:pPr>
        <w:pStyle w:val="6"/>
        <w:numPr>
          <w:ilvl w:val="0"/>
          <w:numId w:val="0"/>
        </w:numPr>
        <w:rPr>
          <w:rFonts w:hint="eastAsia"/>
          <w:sz w:val="21"/>
          <w:szCs w:val="21"/>
        </w:rPr>
      </w:pPr>
      <w:r>
        <w:rPr>
          <w:rFonts w:hint="eastAsia"/>
          <w:sz w:val="21"/>
          <w:szCs w:val="21"/>
        </w:rPr>
        <w:t>[P22</w:t>
      </w:r>
      <w:r>
        <w:rPr>
          <w:rFonts w:hint="eastAsia"/>
          <w:sz w:val="21"/>
          <w:szCs w:val="21"/>
          <w:lang w:val="en-US" w:eastAsia="zh-CN"/>
        </w:rPr>
        <w:t>6</w:t>
      </w:r>
      <w:r>
        <w:rPr>
          <w:rFonts w:hint="eastAsia"/>
          <w:sz w:val="21"/>
          <w:szCs w:val="21"/>
        </w:rPr>
        <w:t>]在一般作业场所应使用1类手持电动工具，外壳应做接零保护，并加装防溅型漏电保护装置。潮湿场所或在金属构架等导电性良好的作业场所应使用I类手持电动工具。在狭窄场所(锅炉、金属容器、地沟管道内等) 宜采用III类工具。[易考单选]</w:t>
      </w:r>
    </w:p>
    <w:p>
      <w:pPr>
        <w:pStyle w:val="6"/>
        <w:numPr>
          <w:ilvl w:val="0"/>
          <w:numId w:val="0"/>
        </w:numPr>
        <w:rPr>
          <w:rFonts w:hint="eastAsia"/>
          <w:sz w:val="21"/>
          <w:szCs w:val="21"/>
        </w:rPr>
      </w:pPr>
      <w:r>
        <w:rPr>
          <w:rFonts w:hint="eastAsia"/>
          <w:sz w:val="21"/>
          <w:szCs w:val="21"/>
        </w:rPr>
        <w:t xml:space="preserve"> [ P225 ]塔吊在遇有风速 12m/s( 或六级 )及以上大风、大雨、大雪、大雾等恶劣天气，应停止作业，将吊钩升起[案例改错 ]</w:t>
      </w:r>
    </w:p>
    <w:p>
      <w:pPr>
        <w:pStyle w:val="6"/>
        <w:numPr>
          <w:ilvl w:val="0"/>
          <w:numId w:val="0"/>
        </w:numPr>
        <w:rPr>
          <w:rFonts w:hint="eastAsia"/>
          <w:sz w:val="21"/>
          <w:szCs w:val="21"/>
        </w:rPr>
      </w:pPr>
      <w:r>
        <w:rPr>
          <w:rFonts w:hint="eastAsia"/>
          <w:sz w:val="21"/>
          <w:szCs w:val="21"/>
        </w:rPr>
        <w:t>[P225 ]在吊物载荷达到额定载荷的 90% 时，应先将吊物吊离地面 200 - 500mm 后检查机械状况、制动性能物理绑扎情况等，对有晃动的物件，必须栓拉溜绳使之稳固。[案例改错]</w:t>
      </w:r>
    </w:p>
    <w:p>
      <w:pPr>
        <w:pStyle w:val="6"/>
        <w:numPr>
          <w:ilvl w:val="0"/>
          <w:numId w:val="0"/>
        </w:numPr>
        <w:rPr>
          <w:rFonts w:hint="eastAsia"/>
          <w:sz w:val="21"/>
          <w:szCs w:val="21"/>
        </w:rPr>
      </w:pPr>
      <w:r>
        <w:rPr>
          <w:rFonts w:hint="eastAsia"/>
          <w:sz w:val="21"/>
          <w:szCs w:val="21"/>
        </w:rPr>
        <w:t>[P234</w:t>
      </w:r>
      <w:r>
        <w:rPr>
          <w:rFonts w:hint="eastAsia"/>
          <w:sz w:val="21"/>
          <w:szCs w:val="21"/>
          <w:lang w:val="en-US" w:eastAsia="zh-CN"/>
        </w:rPr>
        <w:t>3</w:t>
      </w:r>
      <w:r>
        <w:rPr>
          <w:rFonts w:hint="eastAsia"/>
          <w:sz w:val="21"/>
          <w:szCs w:val="21"/>
        </w:rPr>
        <w:t>根据工程项目不同的建设阶段，建筑工程造价可以分为如下6类:(1) 投资估算:(2) 概算造价:(3 ) 预算造价; (4) 合同价; (5) 结算价; (6)决算价。[案例</w:t>
      </w:r>
      <w:r>
        <w:rPr>
          <w:rFonts w:hint="eastAsia"/>
          <w:sz w:val="21"/>
          <w:szCs w:val="21"/>
          <w:lang w:eastAsia="zh-CN"/>
        </w:rPr>
        <w:t>简答</w:t>
      </w:r>
      <w:r>
        <w:rPr>
          <w:rFonts w:hint="eastAsia"/>
          <w:sz w:val="21"/>
          <w:szCs w:val="21"/>
        </w:rPr>
        <w:t>]</w:t>
      </w:r>
    </w:p>
    <w:p>
      <w:pPr>
        <w:pStyle w:val="6"/>
        <w:numPr>
          <w:ilvl w:val="0"/>
          <w:numId w:val="0"/>
        </w:numPr>
        <w:rPr>
          <w:rFonts w:hint="eastAsia"/>
          <w:sz w:val="21"/>
          <w:szCs w:val="21"/>
        </w:rPr>
      </w:pPr>
      <w:r>
        <w:rPr>
          <w:rFonts w:hint="eastAsia"/>
          <w:sz w:val="21"/>
          <w:szCs w:val="21"/>
        </w:rPr>
        <w:t>[P234]采用工程量清单计价的工程，应在招标文件或合同中明确计价中的风险内容及其范围，不得采用无限风险，</w:t>
      </w:r>
      <w:r>
        <w:rPr>
          <w:rFonts w:hint="eastAsia"/>
          <w:sz w:val="21"/>
          <w:szCs w:val="21"/>
          <w:lang w:eastAsia="zh-CN"/>
        </w:rPr>
        <w:t>计</w:t>
      </w:r>
      <w:r>
        <w:rPr>
          <w:rFonts w:hint="eastAsia"/>
          <w:sz w:val="21"/>
          <w:szCs w:val="21"/>
        </w:rPr>
        <w:t>价风险不包括，</w:t>
      </w:r>
      <w:r>
        <w:rPr>
          <w:rFonts w:hint="eastAsia"/>
          <w:sz w:val="21"/>
          <w:szCs w:val="21"/>
          <w:lang w:val="en-US" w:eastAsia="zh-CN"/>
        </w:rPr>
        <w:t>1.</w:t>
      </w:r>
      <w:r>
        <w:rPr>
          <w:rFonts w:hint="eastAsia"/>
          <w:sz w:val="21"/>
          <w:szCs w:val="21"/>
        </w:rPr>
        <w:t>国家法律、法规、规竟和政策变化:2省级或行业建设主管部门发布的人工费调整;3合同中已约定的市场物价波动范围;不可抗力。[案例</w:t>
      </w:r>
      <w:r>
        <w:rPr>
          <w:rFonts w:hint="eastAsia"/>
          <w:sz w:val="21"/>
          <w:szCs w:val="21"/>
          <w:lang w:eastAsia="zh-CN"/>
        </w:rPr>
        <w:t>简答</w:t>
      </w:r>
      <w:r>
        <w:rPr>
          <w:rFonts w:hint="eastAsia"/>
          <w:sz w:val="21"/>
          <w:szCs w:val="21"/>
        </w:rPr>
        <w:t>]</w:t>
      </w:r>
    </w:p>
    <w:p>
      <w:pPr>
        <w:pStyle w:val="6"/>
        <w:numPr>
          <w:ilvl w:val="0"/>
          <w:numId w:val="0"/>
        </w:numPr>
        <w:rPr>
          <w:rFonts w:hint="eastAsia" w:eastAsia="宋体"/>
          <w:sz w:val="21"/>
          <w:szCs w:val="21"/>
          <w:lang w:eastAsia="zh-CN"/>
        </w:rPr>
      </w:pPr>
      <w:r>
        <w:rPr>
          <w:rFonts w:hint="eastAsia"/>
          <w:sz w:val="21"/>
          <w:szCs w:val="21"/>
        </w:rPr>
        <w:t>[ P234 ]建筑安装工程费按照工程造价形成由分部分项工程费、措施项目费、其他项目费、规费、税金组成。[</w:t>
      </w:r>
      <w:r>
        <w:rPr>
          <w:rFonts w:hint="eastAsia"/>
          <w:sz w:val="21"/>
          <w:szCs w:val="21"/>
          <w:lang w:eastAsia="zh-CN"/>
        </w:rPr>
        <w:t>案例计算</w:t>
      </w:r>
      <w:r>
        <w:rPr>
          <w:rFonts w:hint="eastAsia"/>
          <w:sz w:val="21"/>
          <w:szCs w:val="21"/>
        </w:rPr>
        <w:t>]</w:t>
      </w:r>
    </w:p>
    <w:p>
      <w:pPr>
        <w:pStyle w:val="6"/>
        <w:numPr>
          <w:ilvl w:val="0"/>
          <w:numId w:val="0"/>
        </w:numPr>
        <w:rPr>
          <w:rFonts w:hint="eastAsia"/>
          <w:sz w:val="21"/>
          <w:szCs w:val="21"/>
        </w:rPr>
      </w:pPr>
      <w:r>
        <w:rPr>
          <w:rFonts w:hint="eastAsia"/>
          <w:sz w:val="21"/>
          <w:szCs w:val="21"/>
        </w:rPr>
        <w:t>[ P23</w:t>
      </w:r>
      <w:r>
        <w:rPr>
          <w:rFonts w:hint="eastAsia"/>
          <w:sz w:val="21"/>
          <w:szCs w:val="21"/>
          <w:lang w:val="en-US" w:eastAsia="zh-CN"/>
        </w:rPr>
        <w:t>5</w:t>
      </w:r>
      <w:r>
        <w:rPr>
          <w:rFonts w:hint="eastAsia"/>
          <w:sz w:val="21"/>
          <w:szCs w:val="21"/>
        </w:rPr>
        <w:t>]措施</w:t>
      </w:r>
      <w:r>
        <w:rPr>
          <w:rFonts w:hint="eastAsia"/>
          <w:sz w:val="21"/>
          <w:szCs w:val="21"/>
          <w:lang w:eastAsia="zh-CN"/>
        </w:rPr>
        <w:t>项目</w:t>
      </w:r>
      <w:r>
        <w:rPr>
          <w:rFonts w:hint="eastAsia"/>
          <w:sz w:val="21"/>
          <w:szCs w:val="21"/>
        </w:rPr>
        <w:t>费:是指为完成建设工程施工，发生于该工程施工前和施工过程中的技术、生活、安全、环境保护等方面的费用。内容包括: 安全文明施工费含环境保护费、文明施工费、安全施工费、临时设施费)、夜间施工增加费、二次搬运费、冬雨期施工增加费、已完工程及设备保护费、工程定位复测费、特殊地区施工增加费、大型机械设备进出场及安拆费、脚手架工程费。(二大爷脚已冻特安定 [易考多选]</w:t>
      </w:r>
    </w:p>
    <w:p>
      <w:pPr>
        <w:pStyle w:val="6"/>
        <w:numPr>
          <w:ilvl w:val="0"/>
          <w:numId w:val="0"/>
        </w:numPr>
        <w:rPr>
          <w:rFonts w:hint="eastAsia"/>
          <w:sz w:val="21"/>
          <w:szCs w:val="21"/>
        </w:rPr>
      </w:pPr>
      <w:r>
        <w:rPr>
          <w:rFonts w:hint="eastAsia"/>
          <w:sz w:val="21"/>
          <w:szCs w:val="21"/>
        </w:rPr>
        <w:t>[ P235 ]其他项目费内容包括: 暂列金额、暂估价、计日工、总承包服务费。[易考多选]</w:t>
      </w:r>
    </w:p>
    <w:p>
      <w:pPr>
        <w:pStyle w:val="6"/>
        <w:numPr>
          <w:ilvl w:val="0"/>
          <w:numId w:val="0"/>
        </w:numPr>
        <w:rPr>
          <w:rFonts w:hint="eastAsia"/>
          <w:sz w:val="21"/>
          <w:szCs w:val="21"/>
        </w:rPr>
      </w:pPr>
      <w:r>
        <w:rPr>
          <w:rFonts w:hint="eastAsia"/>
          <w:sz w:val="21"/>
          <w:szCs w:val="21"/>
        </w:rPr>
        <w:t>[ P23</w:t>
      </w:r>
      <w:r>
        <w:rPr>
          <w:rFonts w:hint="eastAsia"/>
          <w:sz w:val="21"/>
          <w:szCs w:val="21"/>
          <w:lang w:val="en-US" w:eastAsia="zh-CN"/>
        </w:rPr>
        <w:t>9</w:t>
      </w:r>
      <w:r>
        <w:rPr>
          <w:rFonts w:hint="eastAsia"/>
          <w:sz w:val="21"/>
          <w:szCs w:val="21"/>
        </w:rPr>
        <w:t xml:space="preserve"> ]工程清单计价具有以下特点: (1)强制性: (2)统一性; (3) 完整性: (4)规范性; (5)竞争性;(6) 法定性。[案例简答 ]</w:t>
      </w:r>
    </w:p>
    <w:p>
      <w:pPr>
        <w:pStyle w:val="6"/>
        <w:numPr>
          <w:ilvl w:val="0"/>
          <w:numId w:val="0"/>
        </w:numPr>
        <w:rPr>
          <w:rFonts w:hint="eastAsia"/>
          <w:sz w:val="21"/>
          <w:szCs w:val="21"/>
        </w:rPr>
      </w:pPr>
      <w:r>
        <w:rPr>
          <w:rFonts w:hint="eastAsia"/>
          <w:sz w:val="21"/>
          <w:szCs w:val="21"/>
        </w:rPr>
        <w:t>[ P24</w:t>
      </w:r>
      <w:r>
        <w:rPr>
          <w:rFonts w:hint="eastAsia"/>
          <w:sz w:val="21"/>
          <w:szCs w:val="21"/>
          <w:lang w:val="en-US" w:eastAsia="zh-CN"/>
        </w:rPr>
        <w:t>3</w:t>
      </w:r>
      <w:r>
        <w:rPr>
          <w:rFonts w:hint="eastAsia"/>
          <w:sz w:val="21"/>
          <w:szCs w:val="21"/>
        </w:rPr>
        <w:t>]工程预付款的比例不宜高于合同价款的 30%。[</w:t>
      </w:r>
      <w:r>
        <w:rPr>
          <w:rFonts w:hint="eastAsia"/>
          <w:sz w:val="21"/>
          <w:szCs w:val="21"/>
          <w:lang w:eastAsia="zh-CN"/>
        </w:rPr>
        <w:t>案例计算</w:t>
      </w:r>
      <w:r>
        <w:rPr>
          <w:rFonts w:hint="eastAsia"/>
          <w:sz w:val="21"/>
          <w:szCs w:val="21"/>
        </w:rPr>
        <w:t>]</w:t>
      </w:r>
    </w:p>
    <w:p>
      <w:pPr>
        <w:pStyle w:val="6"/>
        <w:numPr>
          <w:ilvl w:val="0"/>
          <w:numId w:val="0"/>
        </w:numPr>
        <w:rPr>
          <w:rFonts w:hint="eastAsia"/>
          <w:sz w:val="21"/>
          <w:szCs w:val="21"/>
        </w:rPr>
      </w:pPr>
      <w:r>
        <w:rPr>
          <w:rFonts w:hint="eastAsia"/>
          <w:sz w:val="21"/>
          <w:szCs w:val="21"/>
        </w:rPr>
        <w:t>[ P244]百分比法计算工程预付款。工程预付款 = 年度工作量(或合同造价 )x 预付款比例</w:t>
      </w:r>
    </w:p>
    <w:p>
      <w:pPr>
        <w:pStyle w:val="6"/>
        <w:numPr>
          <w:ilvl w:val="0"/>
          <w:numId w:val="0"/>
        </w:numPr>
        <w:rPr>
          <w:rFonts w:hint="eastAsia"/>
          <w:sz w:val="21"/>
          <w:szCs w:val="21"/>
        </w:rPr>
      </w:pPr>
      <w:r>
        <w:rPr>
          <w:rFonts w:hint="eastAsia"/>
          <w:sz w:val="21"/>
          <w:szCs w:val="21"/>
        </w:rPr>
        <w:t>[ P244]预付备料款的回扣: 起扣点 = 年度工作量(或合同造价)-(预付备料款/要材料所占比重)。</w:t>
      </w:r>
    </w:p>
    <w:p>
      <w:pPr>
        <w:pStyle w:val="6"/>
        <w:numPr>
          <w:ilvl w:val="0"/>
          <w:numId w:val="0"/>
        </w:numPr>
        <w:rPr>
          <w:rFonts w:hint="eastAsia"/>
          <w:sz w:val="21"/>
          <w:szCs w:val="21"/>
        </w:rPr>
      </w:pPr>
      <w:r>
        <w:rPr>
          <w:rFonts w:hint="eastAsia"/>
          <w:sz w:val="21"/>
          <w:szCs w:val="21"/>
        </w:rPr>
        <w:t>[P242]固定单价合同一般适用于虽然图纸不完备但采用标准设计的工程项目。[易考单选]</w:t>
      </w:r>
    </w:p>
    <w:p>
      <w:pPr>
        <w:pStyle w:val="6"/>
        <w:numPr>
          <w:ilvl w:val="0"/>
          <w:numId w:val="0"/>
        </w:numPr>
        <w:rPr>
          <w:rFonts w:hint="eastAsia"/>
          <w:sz w:val="21"/>
          <w:szCs w:val="21"/>
        </w:rPr>
      </w:pPr>
      <w:r>
        <w:rPr>
          <w:rFonts w:hint="eastAsia"/>
          <w:sz w:val="21"/>
          <w:szCs w:val="21"/>
        </w:rPr>
        <w:t>[P242 ]成本加酬金合同，合同价款包括成本和酬金两部分，适用于灾后重建、新型项目或对施工内容、经济指标不确定的工程项目。[案例改错]</w:t>
      </w:r>
    </w:p>
    <w:p>
      <w:pPr>
        <w:pStyle w:val="6"/>
        <w:numPr>
          <w:ilvl w:val="0"/>
          <w:numId w:val="0"/>
        </w:numPr>
        <w:rPr>
          <w:rFonts w:hint="eastAsia"/>
          <w:sz w:val="21"/>
          <w:szCs w:val="21"/>
        </w:rPr>
      </w:pPr>
      <w:r>
        <w:rPr>
          <w:rFonts w:hint="eastAsia"/>
          <w:sz w:val="21"/>
          <w:szCs w:val="21"/>
        </w:rPr>
        <w:t>[P247 ]建筑工程成本分析方法有两类八种:[易考多选]第一类是基本分析方法，有比较法，因素分析法，差额分析法和比率法:第二类是综合分析法，包括分部分项成本分析，月(季 ) 度成本分析，年度成本分析，竣工成本分析。[突例简答]106.因素分析法在成本分析中最为常用。该方法首先要排序,排序的原则是: 先工程量,后价值量: 先绝对数后相对数。[案例计算]</w:t>
      </w:r>
    </w:p>
    <w:p>
      <w:pPr>
        <w:pStyle w:val="6"/>
        <w:numPr>
          <w:ilvl w:val="0"/>
          <w:numId w:val="0"/>
        </w:numPr>
        <w:rPr>
          <w:rFonts w:hint="eastAsia"/>
          <w:sz w:val="21"/>
          <w:szCs w:val="21"/>
        </w:rPr>
      </w:pPr>
      <w:r>
        <w:rPr>
          <w:rFonts w:hint="eastAsia"/>
          <w:sz w:val="21"/>
          <w:szCs w:val="21"/>
        </w:rPr>
        <w:t>[ P2</w:t>
      </w:r>
      <w:r>
        <w:rPr>
          <w:rFonts w:hint="eastAsia"/>
          <w:sz w:val="21"/>
          <w:szCs w:val="21"/>
          <w:lang w:val="en-US" w:eastAsia="zh-CN"/>
        </w:rPr>
        <w:t>49</w:t>
      </w:r>
      <w:r>
        <w:rPr>
          <w:rFonts w:hint="eastAsia"/>
          <w:sz w:val="21"/>
          <w:szCs w:val="21"/>
        </w:rPr>
        <w:t>]检验批可根据施工、质量控制和专业验收的需要，按工程量、楼层、施工段、变形缝进行划分。[易考多选，案例简答]</w:t>
      </w:r>
    </w:p>
    <w:p>
      <w:pPr>
        <w:pStyle w:val="6"/>
        <w:numPr>
          <w:ilvl w:val="0"/>
          <w:numId w:val="0"/>
        </w:numPr>
        <w:rPr>
          <w:rFonts w:hint="eastAsia"/>
          <w:sz w:val="21"/>
          <w:szCs w:val="21"/>
        </w:rPr>
      </w:pPr>
      <w:r>
        <w:rPr>
          <w:rFonts w:hint="eastAsia"/>
          <w:sz w:val="21"/>
          <w:szCs w:val="21"/>
        </w:rPr>
        <w:t>[ P251]分部工程质量验收程序:分部工程应由总监理工程师(建设单位项目负责人) 组织施工单位项目负责人和项目技术负责人等进行验收: 勘察、设计单位项目负责人和施工单位技术、质量部门负责人应参加地基与基础分部工程的验收: 设计单位项目负责人和施工单位技术、质量部门负责人应参加主体结构、节能分部工程的验收。[案例，谁组织谁参加]</w:t>
      </w:r>
    </w:p>
    <w:p>
      <w:pPr>
        <w:pStyle w:val="6"/>
        <w:numPr>
          <w:ilvl w:val="0"/>
          <w:numId w:val="0"/>
        </w:numPr>
        <w:rPr>
          <w:rFonts w:hint="eastAsia"/>
          <w:sz w:val="21"/>
          <w:szCs w:val="21"/>
        </w:rPr>
      </w:pPr>
      <w:r>
        <w:rPr>
          <w:rFonts w:hint="eastAsia"/>
          <w:sz w:val="21"/>
          <w:szCs w:val="21"/>
        </w:rPr>
        <w:t>[ P252 ]</w:t>
      </w:r>
      <w:r>
        <w:rPr>
          <w:rFonts w:hint="eastAsia"/>
          <w:sz w:val="21"/>
          <w:szCs w:val="21"/>
          <w:lang w:val="en-US" w:eastAsia="zh-CN"/>
        </w:rPr>
        <w:t xml:space="preserve"> </w:t>
      </w:r>
      <w:r>
        <w:rPr>
          <w:rFonts w:hint="eastAsia"/>
          <w:sz w:val="21"/>
          <w:szCs w:val="21"/>
        </w:rPr>
        <w:t>I类民用建筑:住宅、居住功能公寓、老年人照料房屋设施、幼儿园、学校教室、学生宿舍等民用建筑工程。[易考多选]</w:t>
      </w:r>
    </w:p>
    <w:p>
      <w:pPr>
        <w:pStyle w:val="6"/>
        <w:numPr>
          <w:ilvl w:val="0"/>
          <w:numId w:val="0"/>
        </w:numPr>
        <w:rPr>
          <w:rFonts w:hint="eastAsia"/>
          <w:sz w:val="21"/>
          <w:szCs w:val="21"/>
        </w:rPr>
      </w:pPr>
      <w:r>
        <w:rPr>
          <w:rFonts w:hint="eastAsia"/>
          <w:sz w:val="21"/>
          <w:szCs w:val="21"/>
        </w:rPr>
        <w:t>[ P252 ]I类民用建筑工程室内环境污染物浓度限量:[易考多选]</w:t>
      </w:r>
    </w:p>
    <w:p>
      <w:pPr>
        <w:pStyle w:val="6"/>
        <w:numPr>
          <w:ilvl w:val="0"/>
          <w:numId w:val="0"/>
        </w:numPr>
        <w:rPr>
          <w:sz w:val="21"/>
          <w:szCs w:val="21"/>
        </w:rPr>
      </w:pPr>
      <w:r>
        <w:rPr>
          <w:sz w:val="21"/>
          <w:szCs w:val="21"/>
        </w:rPr>
        <w:drawing>
          <wp:inline distT="0" distB="0" distL="114300" distR="114300">
            <wp:extent cx="6640830" cy="856615"/>
            <wp:effectExtent l="0" t="0" r="7620" b="635"/>
            <wp:docPr id="1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
                    <pic:cNvPicPr>
                      <a:picLocks noChangeAspect="1"/>
                    </pic:cNvPicPr>
                  </pic:nvPicPr>
                  <pic:blipFill>
                    <a:blip r:embed="rId8"/>
                    <a:stretch>
                      <a:fillRect/>
                    </a:stretch>
                  </pic:blipFill>
                  <pic:spPr>
                    <a:xfrm>
                      <a:off x="0" y="0"/>
                      <a:ext cx="6640830" cy="856615"/>
                    </a:xfrm>
                    <a:prstGeom prst="rect">
                      <a:avLst/>
                    </a:prstGeom>
                    <a:noFill/>
                    <a:ln>
                      <a:noFill/>
                    </a:ln>
                  </pic:spPr>
                </pic:pic>
              </a:graphicData>
            </a:graphic>
          </wp:inline>
        </w:drawing>
      </w:r>
    </w:p>
    <w:p>
      <w:pPr>
        <w:pStyle w:val="6"/>
        <w:numPr>
          <w:ilvl w:val="0"/>
          <w:numId w:val="0"/>
        </w:numPr>
        <w:rPr>
          <w:rFonts w:hint="eastAsia"/>
          <w:sz w:val="21"/>
          <w:szCs w:val="21"/>
        </w:rPr>
      </w:pPr>
      <w:r>
        <w:rPr>
          <w:rFonts w:hint="eastAsia"/>
          <w:sz w:val="21"/>
          <w:szCs w:val="21"/>
        </w:rPr>
        <w:t>[ P25</w:t>
      </w:r>
      <w:r>
        <w:rPr>
          <w:rFonts w:hint="eastAsia"/>
          <w:sz w:val="21"/>
          <w:szCs w:val="21"/>
          <w:lang w:val="en-US" w:eastAsia="zh-CN"/>
        </w:rPr>
        <w:t>3</w:t>
      </w:r>
      <w:r>
        <w:rPr>
          <w:rFonts w:hint="eastAsia"/>
          <w:sz w:val="21"/>
          <w:szCs w:val="21"/>
        </w:rPr>
        <w:t xml:space="preserve"> ]民用建筑工程验收时，应抽检有代表性的房间室内环境污染物浓度，检测数量不得少于 5%，并不得少于 3 间。总房间数少于 3 间的应全数检测。[易考单选]</w:t>
      </w:r>
    </w:p>
    <w:p>
      <w:pPr>
        <w:pStyle w:val="6"/>
        <w:numPr>
          <w:ilvl w:val="0"/>
          <w:numId w:val="0"/>
        </w:numPr>
        <w:rPr>
          <w:rFonts w:hint="eastAsia"/>
          <w:sz w:val="21"/>
          <w:szCs w:val="21"/>
        </w:rPr>
      </w:pPr>
      <w:r>
        <w:rPr>
          <w:rFonts w:hint="eastAsia"/>
          <w:sz w:val="21"/>
          <w:szCs w:val="21"/>
        </w:rPr>
        <w:t>[ P25</w:t>
      </w:r>
      <w:r>
        <w:rPr>
          <w:rFonts w:hint="eastAsia"/>
          <w:sz w:val="21"/>
          <w:szCs w:val="21"/>
          <w:lang w:val="en-US" w:eastAsia="zh-CN"/>
        </w:rPr>
        <w:t>3</w:t>
      </w:r>
      <w:r>
        <w:rPr>
          <w:rFonts w:hint="eastAsia"/>
          <w:sz w:val="21"/>
          <w:szCs w:val="21"/>
        </w:rPr>
        <w:t xml:space="preserve"> ]民用建筑工程室内环境中氢浓度检测时，对采用集中空调的民用建筑工程，应在空调正常运转的条件下进行:对采用自然通风的民用建筑工程，应在房间的对外门窗关闭 24h 以后进行。[易考单选 ]</w:t>
      </w:r>
    </w:p>
    <w:p>
      <w:pPr>
        <w:pStyle w:val="6"/>
        <w:numPr>
          <w:ilvl w:val="0"/>
          <w:numId w:val="0"/>
        </w:numPr>
        <w:rPr>
          <w:rFonts w:hint="eastAsia"/>
          <w:sz w:val="21"/>
          <w:szCs w:val="21"/>
        </w:rPr>
      </w:pPr>
      <w:r>
        <w:rPr>
          <w:rFonts w:hint="eastAsia"/>
          <w:sz w:val="21"/>
          <w:szCs w:val="21"/>
        </w:rPr>
        <w:t>[ P25</w:t>
      </w:r>
      <w:r>
        <w:rPr>
          <w:rFonts w:hint="eastAsia"/>
          <w:sz w:val="21"/>
          <w:szCs w:val="21"/>
          <w:lang w:val="en-US" w:eastAsia="zh-CN"/>
        </w:rPr>
        <w:t>5</w:t>
      </w:r>
      <w:r>
        <w:rPr>
          <w:rFonts w:hint="eastAsia"/>
          <w:sz w:val="21"/>
          <w:szCs w:val="21"/>
        </w:rPr>
        <w:t>]建筑节能分项工程和检验批的验收应单独填写验收记录，节能工程验收资料应单独组卷。节能分部工程验收由总监理工程师( 建设单位项目负责人) 组织并主持，施工单位项目负责人、项目技术负责人和相关专业的负责人、质量检查员、施工员、施工单位的质量或技术负责人、设计单位项目负责人及相关专业负责人、主要设备、材料供应商及分包单位负责人、节能设计人员应参加。[易考案例]</w:t>
      </w:r>
    </w:p>
    <w:p>
      <w:pPr>
        <w:pStyle w:val="6"/>
        <w:numPr>
          <w:ilvl w:val="0"/>
          <w:numId w:val="0"/>
        </w:numPr>
        <w:rPr>
          <w:rFonts w:hint="eastAsia"/>
          <w:sz w:val="21"/>
          <w:szCs w:val="21"/>
        </w:rPr>
      </w:pPr>
      <w:r>
        <w:rPr>
          <w:rFonts w:hint="eastAsia"/>
          <w:sz w:val="21"/>
          <w:szCs w:val="21"/>
        </w:rPr>
        <w:t>[ P2</w:t>
      </w:r>
      <w:r>
        <w:rPr>
          <w:rFonts w:hint="eastAsia"/>
          <w:sz w:val="21"/>
          <w:szCs w:val="21"/>
          <w:lang w:val="en-US" w:eastAsia="zh-CN"/>
        </w:rPr>
        <w:t>62</w:t>
      </w:r>
      <w:r>
        <w:rPr>
          <w:rFonts w:hint="eastAsia"/>
          <w:sz w:val="21"/>
          <w:szCs w:val="21"/>
        </w:rPr>
        <w:t>]</w:t>
      </w:r>
      <w:r>
        <w:rPr>
          <w:rFonts w:hint="eastAsia"/>
          <w:sz w:val="21"/>
          <w:szCs w:val="21"/>
          <w:lang w:eastAsia="zh-CN"/>
        </w:rPr>
        <w:t>施</w:t>
      </w:r>
      <w:r>
        <w:rPr>
          <w:rFonts w:hint="eastAsia"/>
          <w:sz w:val="21"/>
          <w:szCs w:val="21"/>
        </w:rPr>
        <w:t>工单位应向建设单位移交施工资料。实行施工总承包的，各专业承包单位应向施工总承包单位移交施工资料。[易考案例]</w:t>
      </w:r>
    </w:p>
    <w:p>
      <w:pPr>
        <w:pStyle w:val="6"/>
        <w:numPr>
          <w:ilvl w:val="0"/>
          <w:numId w:val="0"/>
        </w:numPr>
        <w:rPr>
          <w:rFonts w:hint="eastAsia"/>
          <w:sz w:val="21"/>
          <w:szCs w:val="21"/>
        </w:rPr>
      </w:pPr>
      <w:r>
        <w:rPr>
          <w:rFonts w:hint="eastAsia"/>
          <w:sz w:val="21"/>
          <w:szCs w:val="21"/>
        </w:rPr>
        <w:t>[ P2</w:t>
      </w:r>
      <w:r>
        <w:rPr>
          <w:rFonts w:hint="eastAsia"/>
          <w:sz w:val="21"/>
          <w:szCs w:val="21"/>
          <w:lang w:val="en-US" w:eastAsia="zh-CN"/>
        </w:rPr>
        <w:t>62</w:t>
      </w:r>
      <w:r>
        <w:rPr>
          <w:rFonts w:hint="eastAsia"/>
          <w:sz w:val="21"/>
          <w:szCs w:val="21"/>
        </w:rPr>
        <w:t>]建设单位应按国家有关法规和标准规定向城建档案管理部门移交工程档案，并办理相关手续。有条件时，向城建档案管理部门移交的工程档案应为原件。[易考案例]</w:t>
      </w:r>
    </w:p>
    <w:p>
      <w:pPr>
        <w:pStyle w:val="6"/>
        <w:numPr>
          <w:ilvl w:val="0"/>
          <w:numId w:val="0"/>
        </w:numPr>
        <w:rPr>
          <w:rFonts w:hint="eastAsia"/>
          <w:sz w:val="21"/>
          <w:szCs w:val="21"/>
        </w:rPr>
      </w:pPr>
      <w:r>
        <w:rPr>
          <w:rFonts w:hint="eastAsia"/>
          <w:sz w:val="21"/>
          <w:szCs w:val="21"/>
        </w:rPr>
        <w:t>施工期间未经监理工程师签字的墙体材料、保温材料、门窗、采暖制冷系统和照明设备不得在建筑上使用或者安装。[易考单选</w:t>
      </w:r>
      <w:r>
        <w:rPr>
          <w:rFonts w:hint="eastAsia"/>
          <w:sz w:val="21"/>
          <w:szCs w:val="21"/>
          <w:lang w:eastAsia="zh-CN"/>
        </w:rPr>
        <w:t>，案</w:t>
      </w:r>
      <w:r>
        <w:rPr>
          <w:rFonts w:hint="eastAsia"/>
          <w:sz w:val="21"/>
          <w:szCs w:val="21"/>
        </w:rPr>
        <w:t>例]</w:t>
      </w:r>
    </w:p>
    <w:p>
      <w:pPr>
        <w:pStyle w:val="6"/>
        <w:numPr>
          <w:ilvl w:val="0"/>
          <w:numId w:val="0"/>
        </w:numPr>
        <w:rPr>
          <w:rFonts w:hint="eastAsia"/>
          <w:sz w:val="21"/>
          <w:szCs w:val="21"/>
        </w:rPr>
      </w:pPr>
      <w:r>
        <w:rPr>
          <w:rFonts w:hint="eastAsia"/>
          <w:sz w:val="21"/>
          <w:szCs w:val="21"/>
        </w:rPr>
        <w:t>[ P2</w:t>
      </w:r>
      <w:r>
        <w:rPr>
          <w:rFonts w:hint="eastAsia"/>
          <w:sz w:val="21"/>
          <w:szCs w:val="21"/>
          <w:lang w:val="en-US" w:eastAsia="zh-CN"/>
        </w:rPr>
        <w:t>73</w:t>
      </w:r>
      <w:r>
        <w:rPr>
          <w:rFonts w:hint="eastAsia"/>
          <w:sz w:val="21"/>
          <w:szCs w:val="21"/>
        </w:rPr>
        <w:t>]在正常使用条件下.保温工程的最低保修期限为5年。保温工程的保修期.自竣工验收合格之日起计算[易考单选，记忆保修时间]</w:t>
      </w:r>
    </w:p>
    <w:p>
      <w:pPr>
        <w:pStyle w:val="6"/>
        <w:numPr>
          <w:ilvl w:val="0"/>
          <w:numId w:val="0"/>
        </w:numPr>
        <w:rPr>
          <w:rFonts w:hint="eastAsia"/>
          <w:sz w:val="21"/>
          <w:szCs w:val="21"/>
        </w:rPr>
      </w:pPr>
      <w:r>
        <w:rPr>
          <w:rFonts w:hint="eastAsia"/>
          <w:sz w:val="21"/>
          <w:szCs w:val="21"/>
        </w:rPr>
        <w:t>[ P268]专项施工方案应当由施工单位技术负责人审核签字、加盖单位公章，并由总监理工程师审查签字加盖执业印章后方可实施。危大工程实行分包并由分包单位编制专项施工方案的，专项施工方案应当由总承包单位技术负责人及分包单位技术负责人共同审核签字并加盖单位公章。[易考案例]</w:t>
      </w:r>
    </w:p>
    <w:p>
      <w:pPr>
        <w:pStyle w:val="6"/>
        <w:numPr>
          <w:ilvl w:val="0"/>
          <w:numId w:val="0"/>
        </w:numPr>
        <w:rPr>
          <w:rFonts w:hint="eastAsia"/>
          <w:sz w:val="21"/>
          <w:szCs w:val="21"/>
        </w:rPr>
      </w:pPr>
      <w:r>
        <w:rPr>
          <w:rFonts w:hint="eastAsia"/>
          <w:sz w:val="21"/>
          <w:szCs w:val="21"/>
        </w:rPr>
        <w:t xml:space="preserve">[ P268]对于超过一定规模的危大工程，施工单位应当组织召开专家论证会对专项施工方案进行论证。实行施工总承包的，由施工总承包单位组织召开专家论证会。专家论证前专项施工方案应当通过施工单位审核和总监理工程师审查。[易考案例] </w:t>
      </w:r>
    </w:p>
    <w:p>
      <w:pPr>
        <w:pStyle w:val="6"/>
        <w:numPr>
          <w:ilvl w:val="0"/>
          <w:numId w:val="0"/>
        </w:numPr>
        <w:rPr>
          <w:rFonts w:hint="eastAsia"/>
          <w:sz w:val="21"/>
          <w:szCs w:val="21"/>
        </w:rPr>
      </w:pPr>
      <w:r>
        <w:rPr>
          <w:rFonts w:hint="eastAsia"/>
          <w:sz w:val="21"/>
          <w:szCs w:val="21"/>
        </w:rPr>
        <w:t>[ P26</w:t>
      </w:r>
      <w:r>
        <w:rPr>
          <w:rFonts w:hint="eastAsia"/>
          <w:sz w:val="21"/>
          <w:szCs w:val="21"/>
          <w:lang w:val="en-US" w:eastAsia="zh-CN"/>
        </w:rPr>
        <w:t>9</w:t>
      </w:r>
      <w:r>
        <w:rPr>
          <w:rFonts w:hint="eastAsia"/>
          <w:sz w:val="21"/>
          <w:szCs w:val="21"/>
        </w:rPr>
        <w:t>]危大工程验收人员:(1)总承包单位和分包单位技术负责人或授权委派的专业技术人员、项目负责人项目技术负责人、专项施工方案编制人员、项目专职安全生产管理人员及相关人员: (2) 监理单位项目总监理工程师及专业监理工程师:(3)有关勘察、设计和监测单位项目技术负责人。[易</w:t>
      </w:r>
      <w:r>
        <w:rPr>
          <w:rFonts w:hint="eastAsia"/>
          <w:sz w:val="21"/>
          <w:szCs w:val="21"/>
          <w:lang w:eastAsia="zh-CN"/>
        </w:rPr>
        <w:t>考</w:t>
      </w:r>
      <w:r>
        <w:rPr>
          <w:rFonts w:hint="eastAsia"/>
          <w:sz w:val="21"/>
          <w:szCs w:val="21"/>
        </w:rPr>
        <w:t>案例]</w:t>
      </w:r>
    </w:p>
    <w:p>
      <w:pPr>
        <w:pStyle w:val="6"/>
        <w:numPr>
          <w:ilvl w:val="0"/>
          <w:numId w:val="0"/>
        </w:numPr>
        <w:rPr>
          <w:rFonts w:hint="eastAsia"/>
          <w:sz w:val="21"/>
          <w:szCs w:val="21"/>
        </w:rPr>
      </w:pPr>
      <w:r>
        <w:rPr>
          <w:rFonts w:hint="eastAsia"/>
          <w:sz w:val="21"/>
          <w:szCs w:val="21"/>
        </w:rPr>
        <w:t>[ P270 ]事故报告后出现新情况,以及事故发生之日起 30d内伤亡人数发生变化的,应当及时补报。[易</w:t>
      </w:r>
      <w:r>
        <w:rPr>
          <w:rFonts w:hint="eastAsia"/>
          <w:sz w:val="21"/>
          <w:szCs w:val="21"/>
          <w:lang w:eastAsia="zh-CN"/>
        </w:rPr>
        <w:t>考</w:t>
      </w:r>
      <w:r>
        <w:rPr>
          <w:rFonts w:hint="eastAsia"/>
          <w:sz w:val="21"/>
          <w:szCs w:val="21"/>
        </w:rPr>
        <w:t>案例]</w:t>
      </w:r>
    </w:p>
    <w:p>
      <w:pPr>
        <w:pStyle w:val="6"/>
        <w:numPr>
          <w:ilvl w:val="0"/>
          <w:numId w:val="0"/>
        </w:numPr>
        <w:rPr>
          <w:rFonts w:hint="eastAsia"/>
          <w:sz w:val="21"/>
          <w:szCs w:val="21"/>
        </w:rPr>
      </w:pPr>
      <w:r>
        <w:rPr>
          <w:rFonts w:hint="eastAsia"/>
          <w:sz w:val="21"/>
          <w:szCs w:val="21"/>
        </w:rPr>
        <w:t>[ P272 ]存在下列情形之一的，属于违法分包: (1) 承包单位将其承包的工程分包给个人的。 (2) 施工总承包单位或专业承包单位将工程分包给不具备相应资质单位的。(3) 施工总承包单位将施工总承包合司范围内工程主体结构的施工分包给其他单位的，钢结构工程除外。(4)专业分包单位将其承包的专业工程中非劳务作业部分再分包的。(5) 专业作业承包人将其承包的劳务再分包的。(6)专业作业承包人除计取劳务作业费用外。还计取主要建筑材料款和大中型施工机械设备、主要周转材料费用的[ 2023 年教材修改][案例改</w:t>
      </w:r>
      <w:r>
        <w:rPr>
          <w:rFonts w:hint="eastAsia"/>
          <w:sz w:val="21"/>
          <w:szCs w:val="21"/>
          <w:lang w:eastAsia="zh-CN"/>
        </w:rPr>
        <w:t>错</w:t>
      </w:r>
      <w:r>
        <w:rPr>
          <w:rFonts w:hint="eastAsia"/>
          <w:sz w:val="21"/>
          <w:szCs w:val="21"/>
        </w:rPr>
        <w:t>]</w:t>
      </w:r>
    </w:p>
    <w:p>
      <w:pPr>
        <w:pStyle w:val="6"/>
        <w:numPr>
          <w:ilvl w:val="0"/>
          <w:numId w:val="0"/>
        </w:numPr>
        <w:rPr>
          <w:rFonts w:hint="eastAsia"/>
          <w:sz w:val="21"/>
          <w:szCs w:val="21"/>
        </w:rPr>
      </w:pPr>
      <w:r>
        <w:rPr>
          <w:rFonts w:hint="eastAsia"/>
          <w:sz w:val="21"/>
          <w:szCs w:val="21"/>
        </w:rPr>
        <w:t>[P280]项目成本核算应坚持形象进度、产值统计、成本归集同步的原则，项目管理机构应编制项目成本报告[案例]</w:t>
      </w:r>
    </w:p>
    <w:p>
      <w:pPr>
        <w:pStyle w:val="6"/>
        <w:numPr>
          <w:ilvl w:val="0"/>
          <w:numId w:val="0"/>
        </w:numPr>
        <w:rPr>
          <w:rFonts w:hint="eastAsia"/>
          <w:sz w:val="21"/>
          <w:szCs w:val="21"/>
        </w:rPr>
      </w:pPr>
      <w:r>
        <w:rPr>
          <w:rFonts w:hint="eastAsia"/>
          <w:sz w:val="21"/>
          <w:szCs w:val="21"/>
        </w:rPr>
        <w:t>[P280]项目风险管理应包括下列程序: 风险识别。风险评估。风险应对。风险监控。[案例简</w:t>
      </w:r>
      <w:r>
        <w:rPr>
          <w:rFonts w:hint="eastAsia"/>
          <w:sz w:val="21"/>
          <w:szCs w:val="21"/>
          <w:lang w:eastAsia="zh-CN"/>
        </w:rPr>
        <w:t>答</w:t>
      </w:r>
      <w:r>
        <w:rPr>
          <w:rFonts w:hint="eastAsia"/>
          <w:sz w:val="21"/>
          <w:szCs w:val="21"/>
        </w:rPr>
        <w:t>]</w:t>
      </w:r>
    </w:p>
    <w:p>
      <w:pPr>
        <w:pStyle w:val="6"/>
        <w:numPr>
          <w:ilvl w:val="0"/>
          <w:numId w:val="0"/>
        </w:numPr>
        <w:rPr>
          <w:rFonts w:hint="eastAsia"/>
          <w:sz w:val="21"/>
          <w:szCs w:val="21"/>
        </w:rPr>
      </w:pPr>
      <w:r>
        <w:rPr>
          <w:rFonts w:hint="eastAsia"/>
          <w:sz w:val="21"/>
          <w:szCs w:val="21"/>
        </w:rPr>
        <w:t>[ P280 ]预防风险的措施:组织措施，技术措施，经济措施，沟通协调措施。[案例]</w:t>
      </w:r>
    </w:p>
    <w:p>
      <w:pPr>
        <w:pStyle w:val="6"/>
        <w:numPr>
          <w:ilvl w:val="0"/>
          <w:numId w:val="0"/>
        </w:numPr>
        <w:rPr>
          <w:rFonts w:hint="eastAsia"/>
          <w:sz w:val="21"/>
          <w:szCs w:val="21"/>
        </w:rPr>
      </w:pPr>
      <w:r>
        <w:rPr>
          <w:rFonts w:hint="eastAsia"/>
          <w:sz w:val="21"/>
          <w:szCs w:val="21"/>
        </w:rPr>
        <w:t>建设单位应当自工程竣工验收合格之日起 15</w:t>
      </w:r>
      <w:r>
        <w:rPr>
          <w:rFonts w:hint="eastAsia"/>
          <w:sz w:val="21"/>
          <w:szCs w:val="21"/>
          <w:lang w:eastAsia="zh-CN"/>
        </w:rPr>
        <w:t>天</w:t>
      </w:r>
      <w:r>
        <w:rPr>
          <w:rFonts w:hint="eastAsia"/>
          <w:sz w:val="21"/>
          <w:szCs w:val="21"/>
        </w:rPr>
        <w:t>内，依照本办法规定，向工程所在地的县级以上地方人民政府建设行政主管部门(以下简称备案机关)备案。[易考单选]</w:t>
      </w:r>
    </w:p>
    <w:p>
      <w:pPr>
        <w:pStyle w:val="6"/>
        <w:numPr>
          <w:ilvl w:val="0"/>
          <w:numId w:val="0"/>
        </w:numPr>
        <w:rPr>
          <w:rFonts w:hint="eastAsia"/>
          <w:sz w:val="21"/>
          <w:szCs w:val="21"/>
        </w:rPr>
      </w:pPr>
      <w:r>
        <w:rPr>
          <w:rFonts w:hint="eastAsia"/>
          <w:sz w:val="21"/>
          <w:szCs w:val="21"/>
        </w:rPr>
        <w:t>[ P286]灌注桩混凝土强度检验的试件应在施工现场随机抽取。来自同一搅拌站的混凝土，每浇筑 50m</w:t>
      </w:r>
      <w:r>
        <w:rPr>
          <w:rFonts w:hint="eastAsia"/>
          <w:sz w:val="21"/>
          <w:szCs w:val="21"/>
          <w:lang w:val="en-US" w:eastAsia="zh-CN"/>
        </w:rPr>
        <w:t>3</w:t>
      </w:r>
      <w:r>
        <w:rPr>
          <w:rFonts w:hint="eastAsia"/>
          <w:sz w:val="21"/>
          <w:szCs w:val="21"/>
        </w:rPr>
        <w:t>必须至少留置 1 组试件:当混凝土浇筑量不足 50m</w:t>
      </w:r>
      <w:r>
        <w:rPr>
          <w:rFonts w:hint="eastAsia"/>
          <w:sz w:val="21"/>
          <w:szCs w:val="21"/>
          <w:lang w:val="en-US" w:eastAsia="zh-CN"/>
        </w:rPr>
        <w:t>3</w:t>
      </w:r>
      <w:r>
        <w:rPr>
          <w:rFonts w:hint="eastAsia"/>
          <w:sz w:val="21"/>
          <w:szCs w:val="21"/>
        </w:rPr>
        <w:t>时，每连续浇筑 12 必须至少留置 1组试件。对单柱单。每根桩至少留置 1 组试件。[易考单选，案例改错]</w:t>
      </w:r>
    </w:p>
    <w:p>
      <w:pPr>
        <w:pStyle w:val="6"/>
        <w:numPr>
          <w:ilvl w:val="0"/>
          <w:numId w:val="0"/>
        </w:numPr>
        <w:rPr>
          <w:rFonts w:hint="eastAsia"/>
          <w:sz w:val="21"/>
          <w:szCs w:val="21"/>
        </w:rPr>
      </w:pPr>
      <w:r>
        <w:rPr>
          <w:rFonts w:hint="eastAsia"/>
          <w:sz w:val="21"/>
          <w:szCs w:val="21"/>
        </w:rPr>
        <w:t>[P286 ]工程桩的桩身完整性的抽检数量不应少于总桩数的 20%，且不应少于 10 根。每根柱子承台下的桩抽检数量不应少于1根。[易考单选]</w:t>
      </w:r>
    </w:p>
    <w:p>
      <w:pPr>
        <w:pStyle w:val="6"/>
        <w:numPr>
          <w:ilvl w:val="0"/>
          <w:numId w:val="0"/>
        </w:numPr>
        <w:rPr>
          <w:rFonts w:hint="eastAsia"/>
          <w:sz w:val="21"/>
          <w:szCs w:val="21"/>
        </w:rPr>
      </w:pPr>
      <w:r>
        <w:rPr>
          <w:rFonts w:hint="eastAsia"/>
          <w:sz w:val="21"/>
          <w:szCs w:val="21"/>
        </w:rPr>
        <w:t>结构实体检验应在监理工程师(建设单位项日专业技术负责人 ) 见证下，由施工项目技术负责人组织实施。承担结构实体检验的试验室应具有相应的资质</w:t>
      </w:r>
    </w:p>
    <w:p>
      <w:pPr>
        <w:pStyle w:val="6"/>
        <w:numPr>
          <w:ilvl w:val="0"/>
          <w:numId w:val="0"/>
        </w:numPr>
        <w:rPr>
          <w:rFonts w:hint="eastAsia"/>
          <w:sz w:val="21"/>
          <w:szCs w:val="21"/>
        </w:rPr>
      </w:pPr>
      <w:r>
        <w:rPr>
          <w:rFonts w:hint="eastAsia"/>
          <w:sz w:val="21"/>
          <w:szCs w:val="21"/>
        </w:rPr>
        <w:t>[P283 ]竣工图章的基本内容包括:“竣工图”字样、施工单位、编制人、市核人、技术负责人、编制日期监理单位、现场监理、总监理工程师。[案例</w:t>
      </w:r>
      <w:r>
        <w:rPr>
          <w:rFonts w:hint="eastAsia"/>
          <w:sz w:val="21"/>
          <w:szCs w:val="21"/>
          <w:lang w:eastAsia="zh-CN"/>
        </w:rPr>
        <w:t>简答</w:t>
      </w:r>
      <w:r>
        <w:rPr>
          <w:rFonts w:hint="eastAsia"/>
          <w:sz w:val="21"/>
          <w:szCs w:val="21"/>
        </w:rPr>
        <w:t xml:space="preserve"> ]</w:t>
      </w:r>
    </w:p>
    <w:p>
      <w:pPr>
        <w:pStyle w:val="6"/>
        <w:numPr>
          <w:ilvl w:val="0"/>
          <w:numId w:val="0"/>
        </w:numPr>
        <w:rPr>
          <w:rFonts w:hint="eastAsia"/>
          <w:sz w:val="21"/>
          <w:szCs w:val="21"/>
        </w:rPr>
      </w:pPr>
      <w:r>
        <w:rPr>
          <w:rFonts w:hint="eastAsia"/>
          <w:sz w:val="21"/>
          <w:szCs w:val="21"/>
        </w:rPr>
        <w:t>不上人的吊顶，吊杆可以采用</w:t>
      </w:r>
      <w:r>
        <w:rPr>
          <w:rFonts w:hint="eastAsia" w:ascii="微软雅黑" w:hAnsi="微软雅黑" w:eastAsia="微软雅黑" w:cs="微软雅黑"/>
          <w:sz w:val="21"/>
          <w:szCs w:val="21"/>
        </w:rPr>
        <w:t>⊘</w:t>
      </w:r>
      <w:r>
        <w:rPr>
          <w:rFonts w:hint="eastAsia"/>
          <w:sz w:val="21"/>
          <w:szCs w:val="21"/>
        </w:rPr>
        <w:t>6 钢筋等吊杆: 上人的吊顶，吊杆可以采用</w:t>
      </w:r>
      <w:r>
        <w:rPr>
          <w:rFonts w:hint="eastAsia" w:ascii="微软雅黑" w:hAnsi="微软雅黑" w:eastAsia="微软雅黑" w:cs="微软雅黑"/>
          <w:sz w:val="21"/>
          <w:szCs w:val="21"/>
        </w:rPr>
        <w:t>⊘</w:t>
      </w:r>
      <w:r>
        <w:rPr>
          <w:rFonts w:hint="eastAsia"/>
          <w:sz w:val="21"/>
          <w:szCs w:val="21"/>
        </w:rPr>
        <w:t>8钢筋等吊杆。吊顶灯具风口及检修口等应设附加吊杆。重型灯具、电扇及其他重型设备严禁安装在吊顶工程的龙骨上，必须增设附加吊杆。[易考单选，注意什么时候需要附加品杆 ]</w:t>
      </w:r>
    </w:p>
    <w:p>
      <w:pPr>
        <w:pStyle w:val="6"/>
        <w:numPr>
          <w:ilvl w:val="0"/>
          <w:numId w:val="0"/>
        </w:numPr>
        <w:rPr>
          <w:rFonts w:hint="eastAsia"/>
          <w:sz w:val="21"/>
          <w:szCs w:val="21"/>
        </w:rPr>
      </w:pPr>
      <w:r>
        <w:rPr>
          <w:rFonts w:hint="eastAsia"/>
          <w:sz w:val="21"/>
          <w:szCs w:val="21"/>
        </w:rPr>
        <w:t>[P</w:t>
      </w:r>
      <w:r>
        <w:rPr>
          <w:rFonts w:hint="eastAsia"/>
          <w:sz w:val="21"/>
          <w:szCs w:val="21"/>
          <w:lang w:val="en-US" w:eastAsia="zh-CN"/>
        </w:rPr>
        <w:t>30</w:t>
      </w:r>
      <w:r>
        <w:rPr>
          <w:rFonts w:hint="eastAsia"/>
          <w:sz w:val="21"/>
          <w:szCs w:val="21"/>
        </w:rPr>
        <w:t>6 ]防水后浇带混凝土应一次浇筑.不得留施工缝: 混凝土浇筑后应及时养护,养护时间不得少于 28d.</w:t>
      </w:r>
    </w:p>
    <w:p>
      <w:pPr>
        <w:pStyle w:val="6"/>
        <w:numPr>
          <w:ilvl w:val="0"/>
          <w:numId w:val="0"/>
        </w:numPr>
        <w:rPr>
          <w:rFonts w:hint="eastAsia"/>
          <w:sz w:val="21"/>
          <w:szCs w:val="21"/>
        </w:rPr>
      </w:pPr>
      <w:r>
        <w:rPr>
          <w:rFonts w:hint="eastAsia"/>
          <w:sz w:val="21"/>
          <w:szCs w:val="21"/>
        </w:rPr>
        <w:t>[P286 ]工程桩的桩身完整性的抽检数量不应少于总桩数的 20%，且不应少于 10 根。每根柱子承台下的桩抽检数量不应少于1根。</w:t>
      </w:r>
    </w:p>
    <w:p>
      <w:pPr>
        <w:pStyle w:val="6"/>
        <w:numPr>
          <w:ilvl w:val="0"/>
          <w:numId w:val="0"/>
        </w:numPr>
        <w:rPr>
          <w:rFonts w:hint="eastAsia"/>
          <w:sz w:val="21"/>
          <w:szCs w:val="21"/>
        </w:rPr>
      </w:pPr>
      <w:r>
        <w:rPr>
          <w:rFonts w:hint="eastAsia"/>
          <w:sz w:val="21"/>
          <w:szCs w:val="21"/>
        </w:rPr>
        <w:t>结构实体检验应在监理工程师(建设单位项日专业技术负责人 ) 见证下，由施工项目技术负责人组织实施。承担结构实体检验的试验室应具有相应的资质</w:t>
      </w:r>
    </w:p>
    <w:p>
      <w:pPr>
        <w:pStyle w:val="6"/>
        <w:numPr>
          <w:ilvl w:val="0"/>
          <w:numId w:val="0"/>
        </w:numPr>
        <w:rPr>
          <w:rFonts w:hint="eastAsia"/>
          <w:sz w:val="21"/>
          <w:szCs w:val="21"/>
        </w:rPr>
      </w:pPr>
      <w:r>
        <w:rPr>
          <w:rFonts w:hint="eastAsia"/>
          <w:sz w:val="21"/>
          <w:szCs w:val="21"/>
        </w:rPr>
        <w:t>竣工图章的基本内容包括:“竣工图”字样、施工单位、编制人、市核人、技术负责人、编制日期监理单位、现场监理、总监理工程师。[案例简签 ][P283 ]131.不上人的吊顶，吊杆可以采用</w:t>
      </w:r>
      <w:r>
        <w:rPr>
          <w:rFonts w:hint="eastAsia" w:ascii="微软雅黑" w:hAnsi="微软雅黑" w:eastAsia="微软雅黑" w:cs="微软雅黑"/>
          <w:sz w:val="21"/>
          <w:szCs w:val="21"/>
        </w:rPr>
        <w:t>⊘</w:t>
      </w:r>
      <w:r>
        <w:rPr>
          <w:rFonts w:hint="eastAsia"/>
          <w:sz w:val="21"/>
          <w:szCs w:val="21"/>
        </w:rPr>
        <w:t xml:space="preserve"> 6 钢筋等吊杆: 上人的吊顶，吊杆可以采用</w:t>
      </w:r>
      <w:r>
        <w:rPr>
          <w:rFonts w:hint="eastAsia" w:ascii="微软雅黑" w:hAnsi="微软雅黑" w:eastAsia="微软雅黑" w:cs="微软雅黑"/>
          <w:sz w:val="21"/>
          <w:szCs w:val="21"/>
        </w:rPr>
        <w:t>⊘</w:t>
      </w:r>
      <w:r>
        <w:rPr>
          <w:rFonts w:hint="eastAsia"/>
          <w:sz w:val="21"/>
          <w:szCs w:val="21"/>
        </w:rPr>
        <w:t>8钢筋等吊杆。吊顶灯具风口及检修口等应设附加吊杆。重型灯具、电扇及其他重型设备严禁安装在吊顶工程的龙骨上，必须增设附加吊杆。[易考单选，注意什么时候需要附加</w:t>
      </w:r>
      <w:r>
        <w:rPr>
          <w:rFonts w:hint="eastAsia"/>
          <w:sz w:val="21"/>
          <w:szCs w:val="21"/>
          <w:lang w:eastAsia="zh-CN"/>
        </w:rPr>
        <w:t>吊</w:t>
      </w:r>
      <w:r>
        <w:rPr>
          <w:rFonts w:hint="eastAsia"/>
          <w:sz w:val="21"/>
          <w:szCs w:val="21"/>
        </w:rPr>
        <w:t>杆 ]</w:t>
      </w:r>
    </w:p>
    <w:p>
      <w:pPr>
        <w:pStyle w:val="6"/>
        <w:numPr>
          <w:ilvl w:val="0"/>
          <w:numId w:val="0"/>
        </w:numPr>
        <w:rPr>
          <w:rFonts w:hint="eastAsia"/>
          <w:sz w:val="21"/>
          <w:szCs w:val="21"/>
        </w:rPr>
      </w:pPr>
      <w:r>
        <w:rPr>
          <w:rFonts w:hint="eastAsia"/>
          <w:sz w:val="21"/>
          <w:szCs w:val="21"/>
        </w:rPr>
        <w:t>防水后浇带混凝土应一次浇筑.不得留施工缝: 混凝土浇筑后应及时养护,养护时间不得少于 28d.[易考单选]</w:t>
      </w:r>
    </w:p>
    <w:p>
      <w:pPr>
        <w:pStyle w:val="6"/>
        <w:numPr>
          <w:ilvl w:val="0"/>
          <w:numId w:val="0"/>
        </w:numPr>
        <w:rPr>
          <w:rFonts w:hint="eastAsia"/>
          <w:sz w:val="21"/>
          <w:szCs w:val="21"/>
        </w:rPr>
      </w:pPr>
      <w:r>
        <w:rPr>
          <w:rFonts w:hint="eastAsia"/>
          <w:sz w:val="21"/>
          <w:szCs w:val="21"/>
        </w:rPr>
        <w:t>电气安装工程配线时，相线与零线的颜色应不同;同一住宅相线(L)颜色应统一零线(N)宜用监色保护线(PE )必须用黄绿双色线。[易考单选]</w:t>
      </w:r>
    </w:p>
    <w:p>
      <w:pPr>
        <w:pStyle w:val="6"/>
        <w:numPr>
          <w:ilvl w:val="0"/>
          <w:numId w:val="0"/>
        </w:numPr>
        <w:rPr>
          <w:rFonts w:hint="eastAsia"/>
          <w:sz w:val="21"/>
          <w:szCs w:val="21"/>
        </w:rPr>
      </w:pPr>
      <w:r>
        <w:rPr>
          <w:rFonts w:hint="eastAsia"/>
          <w:sz w:val="21"/>
          <w:szCs w:val="21"/>
        </w:rPr>
        <w:t>[P2</w:t>
      </w:r>
      <w:r>
        <w:rPr>
          <w:rFonts w:hint="eastAsia"/>
          <w:sz w:val="21"/>
          <w:szCs w:val="21"/>
          <w:lang w:val="en-US" w:eastAsia="zh-CN"/>
        </w:rPr>
        <w:t>52</w:t>
      </w:r>
      <w:r>
        <w:rPr>
          <w:rFonts w:hint="eastAsia"/>
          <w:sz w:val="21"/>
          <w:szCs w:val="21"/>
        </w:rPr>
        <w:t xml:space="preserve"> ]标准中控制的室内环境污染物为: 、甲醛、氨、苯、甲苯、二甲苯和挥发性有机物 (TVOC )。[易</w:t>
      </w:r>
      <w:r>
        <w:rPr>
          <w:rFonts w:hint="eastAsia"/>
          <w:sz w:val="21"/>
          <w:szCs w:val="21"/>
          <w:lang w:eastAsia="zh-CN"/>
        </w:rPr>
        <w:t>考多选</w:t>
      </w:r>
      <w:r>
        <w:rPr>
          <w:rFonts w:hint="eastAsia"/>
          <w:sz w:val="21"/>
          <w:szCs w:val="21"/>
        </w:rPr>
        <w:t>]</w:t>
      </w:r>
    </w:p>
    <w:p>
      <w:pPr>
        <w:pStyle w:val="6"/>
        <w:numPr>
          <w:ilvl w:val="0"/>
          <w:numId w:val="0"/>
        </w:numPr>
        <w:rPr>
          <w:rFonts w:hint="eastAsia"/>
          <w:sz w:val="21"/>
          <w:szCs w:val="21"/>
        </w:rPr>
      </w:pPr>
      <w:r>
        <w:rPr>
          <w:rFonts w:hint="eastAsia"/>
          <w:sz w:val="21"/>
          <w:szCs w:val="21"/>
        </w:rPr>
        <w:t xml:space="preserve"> [ P218 ]影响模板钢管支架整体稳定性的主要因素有立杆间距、水平杆的步距、立杆的接长、连墙件的连接扣件的紧固程度。[易考多选 ]</w:t>
      </w:r>
    </w:p>
    <w:p>
      <w:pPr>
        <w:pStyle w:val="6"/>
        <w:numPr>
          <w:ilvl w:val="0"/>
          <w:numId w:val="0"/>
        </w:numPr>
        <w:rPr>
          <w:rFonts w:hint="eastAsia"/>
          <w:sz w:val="21"/>
          <w:szCs w:val="21"/>
        </w:rPr>
      </w:pPr>
      <w:r>
        <w:rPr>
          <w:rFonts w:hint="eastAsia"/>
          <w:sz w:val="21"/>
          <w:szCs w:val="21"/>
        </w:rPr>
        <w:t>[ P2</w:t>
      </w:r>
      <w:r>
        <w:rPr>
          <w:rFonts w:hint="eastAsia"/>
          <w:sz w:val="21"/>
          <w:szCs w:val="21"/>
          <w:lang w:val="en-US" w:eastAsia="zh-CN"/>
        </w:rPr>
        <w:t>59</w:t>
      </w:r>
      <w:r>
        <w:rPr>
          <w:rFonts w:hint="eastAsia"/>
          <w:sz w:val="21"/>
          <w:szCs w:val="21"/>
        </w:rPr>
        <w:t xml:space="preserve"> ]特殊建设工程的建设单位应当向消防设计审查验收主管部门申请消防设计审查，消防设计审查验收主管部门依法对审查的结果负责。特殊建设工程未经消防设计审查或者审查不合格的，建设单位、施工单位不得施工。竣工验收后，建设单位应当向消防设计审查验收主管部门申请消防验收:未经消防验收或者消防验收不合格的，禁止投入使用。建设单位不得编制工程竣工验收报告。消防设计审查验收主管部门:县级以上地方人民政府住房和城乡建设主管部门。[案例、选择</w:t>
      </w:r>
      <w:r>
        <w:rPr>
          <w:rFonts w:hint="eastAsia"/>
          <w:sz w:val="21"/>
          <w:szCs w:val="21"/>
          <w:lang w:eastAsia="zh-CN"/>
        </w:rPr>
        <w:t>都会</w:t>
      </w:r>
      <w:r>
        <w:rPr>
          <w:rFonts w:hint="eastAsia"/>
          <w:sz w:val="21"/>
          <w:szCs w:val="21"/>
        </w:rPr>
        <w:t>涉及，重要内容]</w:t>
      </w:r>
    </w:p>
    <w:p>
      <w:pPr>
        <w:pStyle w:val="6"/>
        <w:numPr>
          <w:ilvl w:val="0"/>
          <w:numId w:val="0"/>
        </w:numPr>
        <w:rPr>
          <w:rFonts w:hint="eastAsia" w:eastAsia="宋体"/>
          <w:sz w:val="21"/>
          <w:szCs w:val="21"/>
          <w:lang w:eastAsia="zh-CN"/>
        </w:rPr>
      </w:pPr>
      <w:r>
        <w:rPr>
          <w:rFonts w:hint="eastAsia"/>
          <w:sz w:val="21"/>
          <w:szCs w:val="21"/>
        </w:rPr>
        <w:t>[ P323]公共建筑夏季室内空调温度设置不应低于 26</w:t>
      </w:r>
      <w:r>
        <w:rPr>
          <w:rFonts w:hint="eastAsia"/>
          <w:sz w:val="21"/>
          <w:szCs w:val="21"/>
          <w:lang w:eastAsia="zh-CN"/>
        </w:rPr>
        <w:t>℃</w:t>
      </w:r>
      <w:r>
        <w:rPr>
          <w:rFonts w:hint="eastAsia"/>
          <w:sz w:val="21"/>
          <w:szCs w:val="21"/>
        </w:rPr>
        <w:t>，冬季室内空调温度设置不应高于 20</w:t>
      </w:r>
      <w:r>
        <w:rPr>
          <w:rFonts w:hint="eastAsia"/>
          <w:sz w:val="21"/>
          <w:szCs w:val="21"/>
          <w:lang w:eastAsia="zh-CN"/>
        </w:rPr>
        <w:t>℃</w:t>
      </w:r>
    </w:p>
    <w:p>
      <w:pPr>
        <w:pStyle w:val="6"/>
        <w:numPr>
          <w:ilvl w:val="0"/>
          <w:numId w:val="0"/>
        </w:numPr>
        <w:rPr>
          <w:rFonts w:hint="eastAsia"/>
          <w:sz w:val="21"/>
          <w:szCs w:val="21"/>
        </w:rPr>
      </w:pPr>
      <w:r>
        <w:rPr>
          <w:rFonts w:hint="eastAsia"/>
          <w:sz w:val="21"/>
          <w:szCs w:val="21"/>
        </w:rPr>
        <w:t>[ P321]建筑装饰装修工程安全和功能的检测项目表[</w:t>
      </w:r>
      <w:r>
        <w:rPr>
          <w:rFonts w:hint="eastAsia"/>
          <w:sz w:val="21"/>
          <w:szCs w:val="21"/>
          <w:lang w:eastAsia="zh-CN"/>
        </w:rPr>
        <w:t>案</w:t>
      </w:r>
      <w:r>
        <w:rPr>
          <w:rFonts w:hint="eastAsia"/>
          <w:sz w:val="21"/>
          <w:szCs w:val="21"/>
        </w:rPr>
        <w:t>例]</w:t>
      </w:r>
    </w:p>
    <w:p>
      <w:pPr>
        <w:pStyle w:val="6"/>
        <w:numPr>
          <w:ilvl w:val="0"/>
          <w:numId w:val="0"/>
        </w:numPr>
        <w:rPr>
          <w:rFonts w:hint="eastAsia" w:eastAsia="宋体"/>
          <w:sz w:val="21"/>
          <w:szCs w:val="21"/>
          <w:lang w:eastAsia="zh-CN"/>
        </w:rPr>
      </w:pPr>
      <w:r>
        <w:rPr>
          <w:rFonts w:hint="eastAsia" w:eastAsia="宋体"/>
          <w:sz w:val="21"/>
          <w:szCs w:val="21"/>
          <w:lang w:eastAsia="zh-CN"/>
        </w:rPr>
        <w:drawing>
          <wp:inline distT="0" distB="0" distL="114300" distR="114300">
            <wp:extent cx="5615940" cy="1503680"/>
            <wp:effectExtent l="0" t="0" r="3810" b="1270"/>
            <wp:docPr id="17" name="图片 17" descr="1685085881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1685085881695"/>
                    <pic:cNvPicPr>
                      <a:picLocks noChangeAspect="1"/>
                    </pic:cNvPicPr>
                  </pic:nvPicPr>
                  <pic:blipFill>
                    <a:blip r:embed="rId9"/>
                    <a:stretch>
                      <a:fillRect/>
                    </a:stretch>
                  </pic:blipFill>
                  <pic:spPr>
                    <a:xfrm>
                      <a:off x="0" y="0"/>
                      <a:ext cx="5615940" cy="1503680"/>
                    </a:xfrm>
                    <a:prstGeom prst="rect">
                      <a:avLst/>
                    </a:prstGeom>
                  </pic:spPr>
                </pic:pic>
              </a:graphicData>
            </a:graphic>
          </wp:inline>
        </w:drawing>
      </w:r>
    </w:p>
    <w:p>
      <w:pPr>
        <w:pStyle w:val="6"/>
        <w:numPr>
          <w:ilvl w:val="0"/>
          <w:numId w:val="0"/>
        </w:numPr>
        <w:rPr>
          <w:rFonts w:hint="eastAsia" w:eastAsia="宋体"/>
          <w:sz w:val="21"/>
          <w:szCs w:val="21"/>
          <w:lang w:eastAsia="zh-CN"/>
        </w:rPr>
      </w:pPr>
    </w:p>
    <w:p>
      <w:pPr>
        <w:pStyle w:val="6"/>
        <w:numPr>
          <w:ilvl w:val="0"/>
          <w:numId w:val="0"/>
        </w:numPr>
        <w:rPr>
          <w:rFonts w:hint="eastAsia" w:eastAsia="宋体"/>
          <w:sz w:val="21"/>
          <w:szCs w:val="21"/>
          <w:lang w:eastAsia="zh-CN"/>
        </w:rPr>
      </w:pPr>
    </w:p>
    <w:p>
      <w:pPr>
        <w:pStyle w:val="6"/>
        <w:numPr>
          <w:ilvl w:val="0"/>
          <w:numId w:val="0"/>
        </w:numPr>
        <w:rPr>
          <w:rFonts w:hint="eastAsia" w:eastAsia="宋体"/>
          <w:sz w:val="21"/>
          <w:szCs w:val="21"/>
          <w:lang w:eastAsia="zh-CN"/>
        </w:rPr>
      </w:pPr>
    </w:p>
    <w:p>
      <w:pPr>
        <w:pStyle w:val="6"/>
        <w:numPr>
          <w:ilvl w:val="0"/>
          <w:numId w:val="0"/>
        </w:numPr>
        <w:rPr>
          <w:rFonts w:hint="eastAsia" w:eastAsia="宋体"/>
          <w:sz w:val="21"/>
          <w:szCs w:val="21"/>
          <w:lang w:eastAsia="zh-CN"/>
        </w:rPr>
      </w:pPr>
    </w:p>
    <w:p>
      <w:pPr>
        <w:pStyle w:val="6"/>
        <w:numPr>
          <w:ilvl w:val="0"/>
          <w:numId w:val="0"/>
        </w:numPr>
        <w:rPr>
          <w:rFonts w:hint="eastAsia" w:eastAsia="宋体"/>
          <w:sz w:val="21"/>
          <w:szCs w:val="21"/>
          <w:lang w:eastAsia="zh-CN"/>
        </w:rPr>
      </w:pPr>
    </w:p>
    <w:p>
      <w:pPr>
        <w:pStyle w:val="6"/>
        <w:numPr>
          <w:ilvl w:val="0"/>
          <w:numId w:val="0"/>
        </w:numPr>
        <w:rPr>
          <w:rFonts w:hint="eastAsia" w:eastAsia="宋体"/>
          <w:sz w:val="21"/>
          <w:szCs w:val="21"/>
          <w:lang w:eastAsia="zh-CN"/>
        </w:rPr>
      </w:pPr>
    </w:p>
    <w:p>
      <w:pPr>
        <w:pStyle w:val="6"/>
        <w:numPr>
          <w:ilvl w:val="0"/>
          <w:numId w:val="0"/>
        </w:numPr>
        <w:rPr>
          <w:rFonts w:hint="eastAsia" w:eastAsia="宋体"/>
          <w:sz w:val="21"/>
          <w:szCs w:val="21"/>
          <w:lang w:eastAsia="zh-CN"/>
        </w:rPr>
      </w:pPr>
    </w:p>
    <w:p>
      <w:pPr>
        <w:pStyle w:val="6"/>
        <w:numPr>
          <w:ilvl w:val="0"/>
          <w:numId w:val="0"/>
        </w:numPr>
        <w:rPr>
          <w:rFonts w:hint="eastAsia" w:eastAsia="宋体"/>
          <w:sz w:val="21"/>
          <w:szCs w:val="21"/>
          <w:lang w:eastAsia="zh-CN"/>
        </w:rPr>
      </w:pPr>
    </w:p>
    <w:p>
      <w:pPr>
        <w:pStyle w:val="6"/>
        <w:numPr>
          <w:ilvl w:val="0"/>
          <w:numId w:val="0"/>
        </w:numPr>
        <w:rPr>
          <w:rFonts w:hint="eastAsia" w:eastAsia="宋体"/>
          <w:sz w:val="21"/>
          <w:szCs w:val="21"/>
          <w:lang w:eastAsia="zh-CN"/>
        </w:rPr>
      </w:pPr>
    </w:p>
    <w:p>
      <w:pPr>
        <w:pStyle w:val="6"/>
        <w:numPr>
          <w:ilvl w:val="0"/>
          <w:numId w:val="0"/>
        </w:numPr>
        <w:rPr>
          <w:rFonts w:hint="eastAsia" w:eastAsia="宋体"/>
          <w:sz w:val="21"/>
          <w:szCs w:val="21"/>
          <w:lang w:eastAsia="zh-CN"/>
        </w:rPr>
      </w:pPr>
    </w:p>
    <w:p>
      <w:pPr>
        <w:pStyle w:val="6"/>
        <w:numPr>
          <w:ilvl w:val="0"/>
          <w:numId w:val="0"/>
        </w:numPr>
        <w:rPr>
          <w:rFonts w:hint="eastAsia" w:eastAsia="宋体"/>
          <w:sz w:val="21"/>
          <w:szCs w:val="21"/>
          <w:lang w:eastAsia="zh-CN"/>
        </w:rPr>
      </w:pPr>
    </w:p>
    <w:p>
      <w:pPr>
        <w:pStyle w:val="6"/>
        <w:numPr>
          <w:ilvl w:val="0"/>
          <w:numId w:val="0"/>
        </w:numPr>
        <w:rPr>
          <w:rFonts w:hint="eastAsia" w:eastAsia="宋体"/>
          <w:sz w:val="21"/>
          <w:szCs w:val="21"/>
          <w:lang w:eastAsia="zh-CN"/>
        </w:rPr>
      </w:pPr>
    </w:p>
    <w:p>
      <w:pPr>
        <w:pStyle w:val="6"/>
        <w:numPr>
          <w:ilvl w:val="0"/>
          <w:numId w:val="0"/>
        </w:numPr>
        <w:rPr>
          <w:rFonts w:hint="eastAsia" w:eastAsia="宋体"/>
          <w:sz w:val="21"/>
          <w:szCs w:val="21"/>
          <w:lang w:eastAsia="zh-CN"/>
        </w:rPr>
      </w:pPr>
    </w:p>
    <w:p>
      <w:pPr>
        <w:pStyle w:val="6"/>
        <w:numPr>
          <w:ilvl w:val="0"/>
          <w:numId w:val="0"/>
        </w:numPr>
        <w:rPr>
          <w:rFonts w:hint="eastAsia" w:eastAsia="宋体"/>
          <w:sz w:val="21"/>
          <w:szCs w:val="21"/>
          <w:lang w:eastAsia="zh-CN"/>
        </w:rPr>
      </w:pPr>
    </w:p>
    <w:p>
      <w:pPr>
        <w:pStyle w:val="6"/>
        <w:numPr>
          <w:ilvl w:val="0"/>
          <w:numId w:val="0"/>
        </w:numPr>
        <w:rPr>
          <w:rFonts w:hint="eastAsia" w:eastAsia="宋体"/>
          <w:sz w:val="21"/>
          <w:szCs w:val="21"/>
          <w:lang w:eastAsia="zh-CN"/>
        </w:rPr>
      </w:pPr>
    </w:p>
    <w:tbl>
      <w:tblPr>
        <w:tblStyle w:val="7"/>
        <w:tblW w:w="0" w:type="auto"/>
        <w:tblInd w:w="1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15"/>
        <w:gridCol w:w="2722"/>
        <w:gridCol w:w="1928"/>
        <w:gridCol w:w="35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3" w:hRule="atLeast"/>
        </w:trPr>
        <w:tc>
          <w:tcPr>
            <w:tcW w:w="1915" w:type="dxa"/>
            <w:noWrap w:val="0"/>
            <w:vAlign w:val="top"/>
          </w:tcPr>
          <w:p>
            <w:pPr>
              <w:pStyle w:val="18"/>
              <w:spacing w:before="81"/>
              <w:ind w:left="697" w:right="685"/>
              <w:jc w:val="center"/>
              <w:rPr>
                <w:b/>
                <w:sz w:val="24"/>
              </w:rPr>
            </w:pPr>
            <w:r>
              <w:rPr>
                <w:b/>
                <w:sz w:val="24"/>
              </w:rPr>
              <w:t>类别</w:t>
            </w:r>
          </w:p>
        </w:tc>
        <w:tc>
          <w:tcPr>
            <w:tcW w:w="2722" w:type="dxa"/>
            <w:noWrap w:val="0"/>
            <w:vAlign w:val="top"/>
          </w:tcPr>
          <w:p>
            <w:pPr>
              <w:pStyle w:val="18"/>
              <w:spacing w:before="81"/>
              <w:ind w:left="104" w:right="87"/>
              <w:jc w:val="center"/>
              <w:rPr>
                <w:b/>
                <w:sz w:val="24"/>
              </w:rPr>
            </w:pPr>
            <w:r>
              <w:rPr>
                <w:b/>
                <w:sz w:val="24"/>
              </w:rPr>
              <w:t>项目</w:t>
            </w:r>
          </w:p>
        </w:tc>
        <w:tc>
          <w:tcPr>
            <w:tcW w:w="1928" w:type="dxa"/>
            <w:noWrap w:val="0"/>
            <w:vAlign w:val="top"/>
          </w:tcPr>
          <w:p>
            <w:pPr>
              <w:pStyle w:val="18"/>
              <w:spacing w:before="81"/>
              <w:ind w:left="488"/>
              <w:rPr>
                <w:b/>
                <w:sz w:val="24"/>
              </w:rPr>
            </w:pPr>
            <w:r>
              <w:rPr>
                <w:b/>
                <w:sz w:val="24"/>
              </w:rPr>
              <w:t>代理周期</w:t>
            </w:r>
          </w:p>
        </w:tc>
        <w:tc>
          <w:tcPr>
            <w:tcW w:w="3542" w:type="dxa"/>
            <w:noWrap w:val="0"/>
            <w:vAlign w:val="top"/>
          </w:tcPr>
          <w:p>
            <w:pPr>
              <w:pStyle w:val="18"/>
              <w:spacing w:before="81"/>
              <w:ind w:left="43" w:right="28"/>
              <w:jc w:val="center"/>
              <w:rPr>
                <w:b/>
                <w:sz w:val="24"/>
              </w:rPr>
            </w:pPr>
            <w:r>
              <w:rPr>
                <w:b/>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2" w:hRule="atLeast"/>
        </w:trPr>
        <w:tc>
          <w:tcPr>
            <w:tcW w:w="1915" w:type="dxa"/>
            <w:noWrap w:val="0"/>
            <w:vAlign w:val="top"/>
          </w:tcPr>
          <w:p>
            <w:pPr>
              <w:pStyle w:val="18"/>
              <w:spacing w:before="32"/>
              <w:ind w:left="361"/>
              <w:rPr>
                <w:b/>
                <w:sz w:val="24"/>
              </w:rPr>
            </w:pPr>
            <w:r>
              <w:rPr>
                <w:b/>
                <w:sz w:val="24"/>
              </w:rPr>
              <w:t>建筑业资质</w:t>
            </w:r>
          </w:p>
        </w:tc>
        <w:tc>
          <w:tcPr>
            <w:tcW w:w="2722" w:type="dxa"/>
            <w:noWrap w:val="0"/>
            <w:vAlign w:val="top"/>
          </w:tcPr>
          <w:p>
            <w:pPr>
              <w:pStyle w:val="18"/>
              <w:spacing w:before="32"/>
              <w:ind w:left="644"/>
              <w:rPr>
                <w:sz w:val="24"/>
              </w:rPr>
            </w:pPr>
            <w:r>
              <w:rPr>
                <w:sz w:val="24"/>
              </w:rPr>
              <w:t>安全生产许可证</w:t>
            </w:r>
          </w:p>
        </w:tc>
        <w:tc>
          <w:tcPr>
            <w:tcW w:w="1928" w:type="dxa"/>
            <w:noWrap w:val="0"/>
            <w:vAlign w:val="top"/>
          </w:tcPr>
          <w:p>
            <w:pPr>
              <w:pStyle w:val="18"/>
              <w:spacing w:before="32"/>
              <w:ind w:left="591"/>
              <w:rPr>
                <w:sz w:val="24"/>
              </w:rPr>
            </w:pPr>
            <w:r>
              <w:rPr>
                <w:rFonts w:ascii="Calibri" w:eastAsia="Calibri"/>
                <w:sz w:val="24"/>
              </w:rPr>
              <w:t xml:space="preserve">2-3 </w:t>
            </w:r>
            <w:r>
              <w:rPr>
                <w:sz w:val="24"/>
              </w:rPr>
              <w:t>个月</w:t>
            </w:r>
          </w:p>
        </w:tc>
        <w:tc>
          <w:tcPr>
            <w:tcW w:w="3542" w:type="dxa"/>
            <w:noWrap w:val="0"/>
            <w:vAlign w:val="top"/>
          </w:tcPr>
          <w:p>
            <w:pPr>
              <w:pStyle w:val="18"/>
              <w:spacing w:before="32"/>
              <w:ind w:left="1176"/>
              <w:rPr>
                <w:sz w:val="24"/>
              </w:rPr>
            </w:pPr>
            <w:r>
              <w:rPr>
                <w:sz w:val="24"/>
              </w:rPr>
              <w:t>新办、延期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915" w:type="dxa"/>
            <w:noWrap w:val="0"/>
            <w:vAlign w:val="top"/>
          </w:tcPr>
          <w:p>
            <w:pPr>
              <w:pStyle w:val="18"/>
              <w:spacing w:before="20"/>
              <w:ind w:left="435"/>
              <w:rPr>
                <w:b/>
                <w:sz w:val="21"/>
              </w:rPr>
            </w:pPr>
            <w:r>
              <w:rPr>
                <w:b/>
                <w:sz w:val="21"/>
              </w:rPr>
              <w:t>陕西住建厅</w:t>
            </w:r>
          </w:p>
        </w:tc>
        <w:tc>
          <w:tcPr>
            <w:tcW w:w="2722" w:type="dxa"/>
            <w:noWrap w:val="0"/>
            <w:vAlign w:val="top"/>
          </w:tcPr>
          <w:p>
            <w:pPr>
              <w:pStyle w:val="18"/>
              <w:spacing w:before="30" w:line="262" w:lineRule="exact"/>
              <w:ind w:right="166"/>
              <w:jc w:val="right"/>
              <w:rPr>
                <w:sz w:val="21"/>
              </w:rPr>
            </w:pPr>
            <w:r>
              <w:rPr>
                <w:sz w:val="21"/>
              </w:rPr>
              <w:t>三类人员</w:t>
            </w:r>
            <w:r>
              <w:rPr>
                <w:rFonts w:ascii="Calibri" w:eastAsia="Calibri"/>
                <w:sz w:val="21"/>
              </w:rPr>
              <w:t>(</w:t>
            </w:r>
            <w:r>
              <w:rPr>
                <w:sz w:val="21"/>
              </w:rPr>
              <w:t xml:space="preserve">建安 </w:t>
            </w:r>
            <w:r>
              <w:rPr>
                <w:rFonts w:ascii="Calibri" w:eastAsia="Calibri"/>
                <w:sz w:val="21"/>
              </w:rPr>
              <w:t>ABC</w:t>
            </w:r>
            <w:r>
              <w:rPr>
                <w:sz w:val="21"/>
              </w:rPr>
              <w:t>）</w:t>
            </w:r>
          </w:p>
        </w:tc>
        <w:tc>
          <w:tcPr>
            <w:tcW w:w="1928" w:type="dxa"/>
            <w:noWrap w:val="0"/>
            <w:vAlign w:val="top"/>
          </w:tcPr>
          <w:p>
            <w:pPr>
              <w:pStyle w:val="18"/>
              <w:spacing w:before="20"/>
              <w:ind w:left="531"/>
              <w:rPr>
                <w:sz w:val="21"/>
              </w:rPr>
            </w:pPr>
            <w:r>
              <w:rPr>
                <w:sz w:val="21"/>
              </w:rPr>
              <w:t>每月一批</w:t>
            </w:r>
          </w:p>
        </w:tc>
        <w:tc>
          <w:tcPr>
            <w:tcW w:w="3542" w:type="dxa"/>
            <w:noWrap w:val="0"/>
            <w:vAlign w:val="top"/>
          </w:tcPr>
          <w:p>
            <w:pPr>
              <w:pStyle w:val="18"/>
              <w:spacing w:before="20"/>
              <w:ind w:left="113" w:right="-15" w:firstLine="668" w:firstLineChars="400"/>
              <w:rPr>
                <w:sz w:val="21"/>
              </w:rPr>
            </w:pPr>
            <w:r>
              <w:rPr>
                <w:spacing w:val="-16"/>
                <w:w w:val="95"/>
                <w:sz w:val="21"/>
              </w:rPr>
              <w:t>新考</w:t>
            </w:r>
            <w:r>
              <w:rPr>
                <w:w w:val="95"/>
                <w:sz w:val="21"/>
              </w:rPr>
              <w:t>（机考</w:t>
            </w:r>
            <w:r>
              <w:rPr>
                <w:spacing w:val="-37"/>
                <w:w w:val="95"/>
                <w:sz w:val="21"/>
              </w:rPr>
              <w:t>）</w:t>
            </w:r>
            <w:r>
              <w:rPr>
                <w:spacing w:val="-22"/>
                <w:w w:val="95"/>
                <w:sz w:val="21"/>
              </w:rPr>
              <w:t>、延期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915" w:type="dxa"/>
            <w:noWrap w:val="0"/>
            <w:vAlign w:val="top"/>
          </w:tcPr>
          <w:p>
            <w:pPr>
              <w:pStyle w:val="18"/>
              <w:spacing w:before="20"/>
              <w:ind w:left="435"/>
              <w:rPr>
                <w:b/>
                <w:sz w:val="21"/>
              </w:rPr>
            </w:pPr>
            <w:r>
              <w:rPr>
                <w:b/>
                <w:sz w:val="21"/>
              </w:rPr>
              <w:t>陕西交通厅</w:t>
            </w:r>
          </w:p>
        </w:tc>
        <w:tc>
          <w:tcPr>
            <w:tcW w:w="2722" w:type="dxa"/>
            <w:noWrap w:val="0"/>
            <w:vAlign w:val="top"/>
          </w:tcPr>
          <w:p>
            <w:pPr>
              <w:pStyle w:val="18"/>
              <w:spacing w:before="24" w:line="267" w:lineRule="exact"/>
              <w:ind w:right="166"/>
              <w:jc w:val="right"/>
              <w:rPr>
                <w:sz w:val="21"/>
              </w:rPr>
            </w:pPr>
            <w:r>
              <w:rPr>
                <w:sz w:val="21"/>
              </w:rPr>
              <w:t>三类人员</w:t>
            </w:r>
            <w:r>
              <w:rPr>
                <w:rFonts w:ascii="Calibri" w:eastAsia="Calibri"/>
                <w:sz w:val="21"/>
              </w:rPr>
              <w:t>(</w:t>
            </w:r>
            <w:r>
              <w:rPr>
                <w:sz w:val="21"/>
              </w:rPr>
              <w:t xml:space="preserve">交安 </w:t>
            </w:r>
            <w:r>
              <w:rPr>
                <w:rFonts w:ascii="Calibri" w:eastAsia="Calibri"/>
                <w:sz w:val="21"/>
              </w:rPr>
              <w:t>ABC</w:t>
            </w:r>
            <w:r>
              <w:rPr>
                <w:sz w:val="21"/>
              </w:rPr>
              <w:t>）</w:t>
            </w:r>
          </w:p>
        </w:tc>
        <w:tc>
          <w:tcPr>
            <w:tcW w:w="1928" w:type="dxa"/>
            <w:noWrap w:val="0"/>
            <w:vAlign w:val="top"/>
          </w:tcPr>
          <w:p>
            <w:pPr>
              <w:pStyle w:val="18"/>
              <w:spacing w:before="20"/>
              <w:ind w:left="442"/>
              <w:rPr>
                <w:sz w:val="21"/>
              </w:rPr>
            </w:pPr>
            <w:r>
              <w:rPr>
                <w:sz w:val="21"/>
              </w:rPr>
              <w:t>按考试通知</w:t>
            </w:r>
          </w:p>
        </w:tc>
        <w:tc>
          <w:tcPr>
            <w:tcW w:w="3542" w:type="dxa"/>
            <w:noWrap w:val="0"/>
            <w:vAlign w:val="top"/>
          </w:tcPr>
          <w:p>
            <w:pPr>
              <w:pStyle w:val="18"/>
              <w:spacing w:before="20"/>
              <w:ind w:firstLine="630" w:firstLineChars="300"/>
              <w:rPr>
                <w:rFonts w:hint="eastAsia" w:eastAsia="宋体"/>
                <w:sz w:val="21"/>
                <w:lang w:val="en-US" w:eastAsia="zh-CN"/>
              </w:rPr>
            </w:pPr>
            <w:r>
              <w:rPr>
                <w:sz w:val="21"/>
              </w:rPr>
              <w:t>按公司为单位</w:t>
            </w:r>
            <w:r>
              <w:rPr>
                <w:rFonts w:hint="eastAsia"/>
                <w:sz w:val="21"/>
                <w:lang w:val="en-US" w:eastAsia="zh-CN"/>
              </w:rPr>
              <w:t>报名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915" w:type="dxa"/>
            <w:noWrap w:val="0"/>
            <w:vAlign w:val="top"/>
          </w:tcPr>
          <w:p>
            <w:pPr>
              <w:pStyle w:val="18"/>
              <w:spacing w:before="22"/>
              <w:ind w:left="435"/>
              <w:rPr>
                <w:b/>
                <w:sz w:val="21"/>
              </w:rPr>
            </w:pPr>
            <w:r>
              <w:rPr>
                <w:b/>
                <w:sz w:val="21"/>
              </w:rPr>
              <w:t>陕西水利厅</w:t>
            </w:r>
          </w:p>
        </w:tc>
        <w:tc>
          <w:tcPr>
            <w:tcW w:w="2722" w:type="dxa"/>
            <w:noWrap w:val="0"/>
            <w:vAlign w:val="top"/>
          </w:tcPr>
          <w:p>
            <w:pPr>
              <w:pStyle w:val="18"/>
              <w:spacing w:before="24" w:line="268" w:lineRule="exact"/>
              <w:ind w:right="166"/>
              <w:jc w:val="right"/>
              <w:rPr>
                <w:sz w:val="21"/>
              </w:rPr>
            </w:pPr>
            <w:r>
              <w:rPr>
                <w:sz w:val="21"/>
              </w:rPr>
              <w:t>三类人员</w:t>
            </w:r>
            <w:r>
              <w:rPr>
                <w:rFonts w:ascii="Calibri" w:eastAsia="Calibri"/>
                <w:sz w:val="21"/>
              </w:rPr>
              <w:t>(</w:t>
            </w:r>
            <w:r>
              <w:rPr>
                <w:sz w:val="21"/>
              </w:rPr>
              <w:t xml:space="preserve">水安 </w:t>
            </w:r>
            <w:r>
              <w:rPr>
                <w:rFonts w:ascii="Calibri" w:eastAsia="Calibri"/>
                <w:sz w:val="21"/>
              </w:rPr>
              <w:t>ABC</w:t>
            </w:r>
            <w:r>
              <w:rPr>
                <w:sz w:val="21"/>
              </w:rPr>
              <w:t>）</w:t>
            </w:r>
          </w:p>
        </w:tc>
        <w:tc>
          <w:tcPr>
            <w:tcW w:w="1928" w:type="dxa"/>
            <w:noWrap w:val="0"/>
            <w:vAlign w:val="top"/>
          </w:tcPr>
          <w:p>
            <w:pPr>
              <w:pStyle w:val="18"/>
              <w:spacing w:before="22"/>
              <w:ind w:left="442"/>
              <w:rPr>
                <w:sz w:val="21"/>
              </w:rPr>
            </w:pPr>
            <w:r>
              <w:rPr>
                <w:sz w:val="21"/>
              </w:rPr>
              <w:t>按考试通知</w:t>
            </w:r>
          </w:p>
        </w:tc>
        <w:tc>
          <w:tcPr>
            <w:tcW w:w="3542" w:type="dxa"/>
            <w:noWrap w:val="0"/>
            <w:vAlign w:val="top"/>
          </w:tcPr>
          <w:p>
            <w:pPr>
              <w:pStyle w:val="18"/>
              <w:spacing w:before="22"/>
              <w:ind w:firstLine="840" w:firstLineChars="400"/>
              <w:rPr>
                <w:sz w:val="21"/>
              </w:rPr>
            </w:pPr>
            <w:r>
              <w:rPr>
                <w:sz w:val="21"/>
              </w:rPr>
              <w:t>刷课时、考试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6" w:hRule="atLeast"/>
        </w:trPr>
        <w:tc>
          <w:tcPr>
            <w:tcW w:w="1915" w:type="dxa"/>
            <w:noWrap w:val="0"/>
            <w:vAlign w:val="top"/>
          </w:tcPr>
          <w:p>
            <w:pPr>
              <w:pStyle w:val="18"/>
              <w:spacing w:before="55"/>
              <w:ind w:firstLine="200" w:firstLineChars="100"/>
              <w:rPr>
                <w:b/>
                <w:sz w:val="21"/>
              </w:rPr>
            </w:pPr>
            <w:r>
              <w:rPr>
                <w:b/>
                <w:w w:val="95"/>
                <w:sz w:val="21"/>
              </w:rPr>
              <w:t>工程类职称评审</w:t>
            </w:r>
          </w:p>
        </w:tc>
        <w:tc>
          <w:tcPr>
            <w:tcW w:w="2722" w:type="dxa"/>
            <w:noWrap w:val="0"/>
            <w:vAlign w:val="top"/>
          </w:tcPr>
          <w:p>
            <w:pPr>
              <w:pStyle w:val="18"/>
              <w:spacing w:before="55"/>
              <w:ind w:left="654"/>
              <w:rPr>
                <w:sz w:val="21"/>
              </w:rPr>
            </w:pPr>
            <w:r>
              <w:rPr>
                <w:sz w:val="21"/>
              </w:rPr>
              <w:t>初级</w:t>
            </w:r>
            <w:r>
              <w:rPr>
                <w:rFonts w:ascii="Calibri" w:eastAsia="Calibri"/>
                <w:sz w:val="21"/>
              </w:rPr>
              <w:t>/</w:t>
            </w:r>
            <w:r>
              <w:rPr>
                <w:sz w:val="21"/>
              </w:rPr>
              <w:t>中级</w:t>
            </w:r>
            <w:r>
              <w:rPr>
                <w:rFonts w:ascii="Calibri" w:eastAsia="Calibri"/>
                <w:sz w:val="21"/>
              </w:rPr>
              <w:t>/</w:t>
            </w:r>
            <w:r>
              <w:rPr>
                <w:sz w:val="21"/>
              </w:rPr>
              <w:t>高级</w:t>
            </w:r>
          </w:p>
        </w:tc>
        <w:tc>
          <w:tcPr>
            <w:tcW w:w="1928" w:type="dxa"/>
            <w:noWrap w:val="0"/>
            <w:vAlign w:val="top"/>
          </w:tcPr>
          <w:p>
            <w:pPr>
              <w:pStyle w:val="18"/>
              <w:spacing w:before="55"/>
              <w:ind w:left="548"/>
              <w:rPr>
                <w:sz w:val="21"/>
              </w:rPr>
            </w:pPr>
            <w:r>
              <w:rPr>
                <w:sz w:val="21"/>
              </w:rPr>
              <w:t>每年一次</w:t>
            </w:r>
          </w:p>
        </w:tc>
        <w:tc>
          <w:tcPr>
            <w:tcW w:w="3542" w:type="dxa"/>
            <w:noWrap w:val="0"/>
            <w:vAlign w:val="top"/>
          </w:tcPr>
          <w:p>
            <w:pPr>
              <w:pStyle w:val="18"/>
              <w:spacing w:before="55"/>
              <w:ind w:left="751"/>
              <w:rPr>
                <w:sz w:val="21"/>
              </w:rPr>
            </w:pPr>
            <w:r>
              <w:rPr>
                <w:rFonts w:ascii="Calibri" w:eastAsia="Calibri"/>
                <w:sz w:val="21"/>
              </w:rPr>
              <w:t xml:space="preserve">5 </w:t>
            </w:r>
            <w:r>
              <w:rPr>
                <w:sz w:val="21"/>
              </w:rPr>
              <w:t>年继续教育、论文等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atLeast"/>
        </w:trPr>
        <w:tc>
          <w:tcPr>
            <w:tcW w:w="1915" w:type="dxa"/>
            <w:noWrap w:val="0"/>
            <w:vAlign w:val="top"/>
          </w:tcPr>
          <w:p>
            <w:pPr>
              <w:pStyle w:val="18"/>
              <w:spacing w:before="99"/>
              <w:ind w:left="226"/>
              <w:rPr>
                <w:b/>
                <w:sz w:val="21"/>
              </w:rPr>
            </w:pPr>
            <w:r>
              <w:rPr>
                <w:rFonts w:hint="eastAsia"/>
                <w:b/>
                <w:sz w:val="21"/>
                <w:lang w:val="en-US" w:eastAsia="zh-CN"/>
              </w:rPr>
              <w:t>国家</w:t>
            </w:r>
            <w:r>
              <w:rPr>
                <w:b/>
                <w:sz w:val="21"/>
              </w:rPr>
              <w:t>应急管理局</w:t>
            </w:r>
          </w:p>
        </w:tc>
        <w:tc>
          <w:tcPr>
            <w:tcW w:w="2722" w:type="dxa"/>
            <w:noWrap w:val="0"/>
            <w:vAlign w:val="top"/>
          </w:tcPr>
          <w:p>
            <w:pPr>
              <w:pStyle w:val="18"/>
              <w:spacing w:before="99"/>
              <w:ind w:left="315"/>
              <w:rPr>
                <w:sz w:val="21"/>
              </w:rPr>
            </w:pPr>
            <w:r>
              <w:rPr>
                <w:sz w:val="21"/>
              </w:rPr>
              <w:t>高、低压电工、焊工等</w:t>
            </w:r>
          </w:p>
        </w:tc>
        <w:tc>
          <w:tcPr>
            <w:tcW w:w="1928" w:type="dxa"/>
            <w:noWrap w:val="0"/>
            <w:vAlign w:val="top"/>
          </w:tcPr>
          <w:p>
            <w:pPr>
              <w:pStyle w:val="18"/>
              <w:spacing w:before="99"/>
              <w:ind w:left="548"/>
              <w:rPr>
                <w:sz w:val="21"/>
              </w:rPr>
            </w:pPr>
            <w:r>
              <w:rPr>
                <w:sz w:val="21"/>
              </w:rPr>
              <w:t>每周安排</w:t>
            </w:r>
          </w:p>
        </w:tc>
        <w:tc>
          <w:tcPr>
            <w:tcW w:w="3542" w:type="dxa"/>
            <w:noWrap w:val="0"/>
            <w:vAlign w:val="top"/>
          </w:tcPr>
          <w:p>
            <w:pPr>
              <w:pStyle w:val="18"/>
              <w:spacing w:before="99"/>
              <w:ind w:left="43" w:right="25"/>
              <w:jc w:val="center"/>
              <w:rPr>
                <w:sz w:val="21"/>
              </w:rPr>
            </w:pPr>
            <w:r>
              <w:rPr>
                <w:sz w:val="21"/>
              </w:rPr>
              <w:t>新考、复审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2" w:hRule="atLeast"/>
        </w:trPr>
        <w:tc>
          <w:tcPr>
            <w:tcW w:w="1915" w:type="dxa"/>
            <w:noWrap w:val="0"/>
            <w:vAlign w:val="top"/>
          </w:tcPr>
          <w:p>
            <w:pPr>
              <w:pStyle w:val="18"/>
              <w:spacing w:before="90" w:line="280" w:lineRule="auto"/>
              <w:ind w:right="177"/>
              <w:rPr>
                <w:b/>
                <w:sz w:val="21"/>
              </w:rPr>
            </w:pPr>
            <w:r>
              <w:rPr>
                <w:b/>
                <w:sz w:val="21"/>
              </w:rPr>
              <w:t>国家质监局</w:t>
            </w:r>
            <w:r>
              <w:rPr>
                <w:b/>
                <w:w w:val="95"/>
                <w:sz w:val="21"/>
              </w:rPr>
              <w:t>特种设备操作证</w:t>
            </w:r>
          </w:p>
        </w:tc>
        <w:tc>
          <w:tcPr>
            <w:tcW w:w="2722" w:type="dxa"/>
            <w:noWrap w:val="0"/>
            <w:vAlign w:val="top"/>
          </w:tcPr>
          <w:p>
            <w:pPr>
              <w:pStyle w:val="18"/>
              <w:spacing w:before="90" w:line="280" w:lineRule="auto"/>
              <w:ind w:left="630" w:right="82" w:hanging="521"/>
              <w:rPr>
                <w:sz w:val="21"/>
              </w:rPr>
            </w:pPr>
            <w:r>
              <w:rPr>
                <w:sz w:val="21"/>
              </w:rPr>
              <w:t>压力容器、电梯司机、起重机司机、指挥等</w:t>
            </w:r>
          </w:p>
        </w:tc>
        <w:tc>
          <w:tcPr>
            <w:tcW w:w="1928" w:type="dxa"/>
            <w:noWrap w:val="0"/>
            <w:vAlign w:val="top"/>
          </w:tcPr>
          <w:p>
            <w:pPr>
              <w:pStyle w:val="18"/>
              <w:spacing w:before="4"/>
              <w:rPr>
                <w:rFonts w:ascii="Times New Roman"/>
                <w:sz w:val="21"/>
              </w:rPr>
            </w:pPr>
          </w:p>
          <w:p>
            <w:pPr>
              <w:pStyle w:val="18"/>
              <w:spacing w:before="1"/>
              <w:ind w:left="548"/>
              <w:rPr>
                <w:sz w:val="21"/>
              </w:rPr>
            </w:pPr>
            <w:r>
              <w:rPr>
                <w:sz w:val="21"/>
              </w:rPr>
              <w:t>每周安排</w:t>
            </w:r>
          </w:p>
        </w:tc>
        <w:tc>
          <w:tcPr>
            <w:tcW w:w="3542" w:type="dxa"/>
            <w:noWrap w:val="0"/>
            <w:vAlign w:val="top"/>
          </w:tcPr>
          <w:p>
            <w:pPr>
              <w:pStyle w:val="18"/>
              <w:spacing w:before="4"/>
              <w:rPr>
                <w:rFonts w:ascii="Times New Roman"/>
                <w:sz w:val="21"/>
              </w:rPr>
            </w:pPr>
          </w:p>
          <w:p>
            <w:pPr>
              <w:pStyle w:val="18"/>
              <w:spacing w:before="1"/>
              <w:ind w:left="43" w:right="25"/>
              <w:jc w:val="center"/>
              <w:rPr>
                <w:sz w:val="21"/>
              </w:rPr>
            </w:pPr>
            <w:r>
              <w:rPr>
                <w:sz w:val="21"/>
              </w:rPr>
              <w:t>新考、复审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3" w:hRule="atLeast"/>
        </w:trPr>
        <w:tc>
          <w:tcPr>
            <w:tcW w:w="1915" w:type="dxa"/>
            <w:noWrap w:val="0"/>
            <w:vAlign w:val="top"/>
          </w:tcPr>
          <w:p>
            <w:pPr>
              <w:pStyle w:val="18"/>
              <w:ind w:left="0" w:leftChars="0" w:firstLine="0" w:firstLineChars="0"/>
              <w:rPr>
                <w:b/>
                <w:sz w:val="21"/>
              </w:rPr>
            </w:pPr>
          </w:p>
          <w:p>
            <w:pPr>
              <w:pStyle w:val="18"/>
              <w:ind w:left="0" w:leftChars="0" w:firstLine="211" w:firstLineChars="100"/>
              <w:rPr>
                <w:b/>
                <w:sz w:val="21"/>
              </w:rPr>
            </w:pPr>
            <w:r>
              <w:rPr>
                <w:b/>
                <w:sz w:val="21"/>
              </w:rPr>
              <w:t>建设厅特种工</w:t>
            </w:r>
          </w:p>
        </w:tc>
        <w:tc>
          <w:tcPr>
            <w:tcW w:w="2722" w:type="dxa"/>
            <w:noWrap w:val="0"/>
            <w:vAlign w:val="top"/>
          </w:tcPr>
          <w:p>
            <w:pPr>
              <w:pStyle w:val="18"/>
              <w:spacing w:before="21" w:line="280" w:lineRule="auto"/>
              <w:ind w:left="104" w:right="87"/>
              <w:jc w:val="center"/>
              <w:rPr>
                <w:sz w:val="21"/>
              </w:rPr>
            </w:pPr>
            <w:r>
              <w:rPr>
                <w:w w:val="95"/>
                <w:sz w:val="21"/>
              </w:rPr>
              <w:t>建筑电工、建筑架子工（普通脚手架）、建筑起重司索</w:t>
            </w:r>
            <w:r>
              <w:rPr>
                <w:rFonts w:hint="eastAsia"/>
                <w:w w:val="95"/>
                <w:sz w:val="21"/>
                <w:lang w:val="en-US" w:eastAsia="zh-CN"/>
              </w:rPr>
              <w:t>工</w:t>
            </w:r>
            <w:r>
              <w:rPr>
                <w:sz w:val="21"/>
              </w:rPr>
              <w:t>等</w:t>
            </w:r>
          </w:p>
        </w:tc>
        <w:tc>
          <w:tcPr>
            <w:tcW w:w="1928" w:type="dxa"/>
            <w:noWrap w:val="0"/>
            <w:vAlign w:val="top"/>
          </w:tcPr>
          <w:p>
            <w:pPr>
              <w:pStyle w:val="18"/>
              <w:ind w:left="0" w:leftChars="0" w:firstLine="420" w:firstLineChars="200"/>
              <w:rPr>
                <w:sz w:val="21"/>
              </w:rPr>
            </w:pPr>
          </w:p>
          <w:p>
            <w:pPr>
              <w:pStyle w:val="18"/>
              <w:ind w:left="0" w:leftChars="0" w:firstLine="420" w:firstLineChars="200"/>
              <w:rPr>
                <w:sz w:val="21"/>
              </w:rPr>
            </w:pPr>
            <w:r>
              <w:rPr>
                <w:sz w:val="21"/>
              </w:rPr>
              <w:t>每月一批</w:t>
            </w:r>
          </w:p>
        </w:tc>
        <w:tc>
          <w:tcPr>
            <w:tcW w:w="3542" w:type="dxa"/>
            <w:noWrap w:val="0"/>
            <w:vAlign w:val="top"/>
          </w:tcPr>
          <w:p>
            <w:pPr>
              <w:pStyle w:val="18"/>
              <w:ind w:left="0" w:leftChars="0" w:right="25" w:firstLine="1260" w:firstLineChars="600"/>
              <w:jc w:val="both"/>
              <w:rPr>
                <w:sz w:val="21"/>
              </w:rPr>
            </w:pPr>
          </w:p>
          <w:p>
            <w:pPr>
              <w:pStyle w:val="18"/>
              <w:ind w:left="0" w:leftChars="0" w:right="25" w:firstLine="1260" w:firstLineChars="600"/>
              <w:jc w:val="both"/>
              <w:rPr>
                <w:sz w:val="21"/>
              </w:rPr>
            </w:pPr>
            <w:r>
              <w:rPr>
                <w:sz w:val="21"/>
              </w:rPr>
              <w:t>新考、复审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5" w:hRule="atLeast"/>
        </w:trPr>
        <w:tc>
          <w:tcPr>
            <w:tcW w:w="1915" w:type="dxa"/>
            <w:noWrap w:val="0"/>
            <w:vAlign w:val="top"/>
          </w:tcPr>
          <w:p>
            <w:pPr>
              <w:pStyle w:val="18"/>
              <w:spacing w:before="74" w:line="280" w:lineRule="auto"/>
              <w:ind w:left="226" w:right="96" w:hanging="106"/>
              <w:rPr>
                <w:b/>
                <w:sz w:val="21"/>
              </w:rPr>
            </w:pPr>
            <w:r>
              <w:rPr>
                <w:b/>
                <w:sz w:val="21"/>
              </w:rPr>
              <w:t>陕西建协职业鉴定机械操作岗位证</w:t>
            </w:r>
          </w:p>
        </w:tc>
        <w:tc>
          <w:tcPr>
            <w:tcW w:w="2722" w:type="dxa"/>
            <w:noWrap w:val="0"/>
            <w:vAlign w:val="top"/>
          </w:tcPr>
          <w:p>
            <w:pPr>
              <w:pStyle w:val="18"/>
              <w:spacing w:before="74" w:line="280" w:lineRule="auto"/>
              <w:ind w:left="315" w:right="80" w:hanging="204"/>
              <w:rPr>
                <w:sz w:val="21"/>
              </w:rPr>
            </w:pPr>
            <w:r>
              <w:rPr>
                <w:sz w:val="21"/>
              </w:rPr>
              <w:t>压路机操作、装载机操作、推土机操作等一证一本</w:t>
            </w:r>
          </w:p>
        </w:tc>
        <w:tc>
          <w:tcPr>
            <w:tcW w:w="1928" w:type="dxa"/>
            <w:noWrap w:val="0"/>
            <w:vAlign w:val="top"/>
          </w:tcPr>
          <w:p>
            <w:pPr>
              <w:pStyle w:val="18"/>
              <w:rPr>
                <w:rFonts w:ascii="Times New Roman"/>
                <w:sz w:val="20"/>
              </w:rPr>
            </w:pPr>
          </w:p>
          <w:p>
            <w:pPr>
              <w:pStyle w:val="18"/>
              <w:ind w:left="657" w:right="641"/>
              <w:jc w:val="center"/>
              <w:rPr>
                <w:sz w:val="21"/>
              </w:rPr>
            </w:pPr>
            <w:r>
              <w:rPr>
                <w:rFonts w:ascii="Calibri" w:eastAsia="Calibri"/>
                <w:sz w:val="21"/>
              </w:rPr>
              <w:t xml:space="preserve">15 </w:t>
            </w:r>
            <w:r>
              <w:rPr>
                <w:sz w:val="21"/>
              </w:rPr>
              <w:t>天</w:t>
            </w:r>
          </w:p>
        </w:tc>
        <w:tc>
          <w:tcPr>
            <w:tcW w:w="3542" w:type="dxa"/>
            <w:noWrap w:val="0"/>
            <w:vAlign w:val="top"/>
          </w:tcPr>
          <w:p>
            <w:pPr>
              <w:pStyle w:val="18"/>
              <w:rPr>
                <w:rFonts w:ascii="Times New Roman"/>
                <w:sz w:val="20"/>
              </w:rPr>
            </w:pPr>
          </w:p>
          <w:p>
            <w:pPr>
              <w:pStyle w:val="18"/>
              <w:ind w:left="43" w:right="25"/>
              <w:jc w:val="center"/>
              <w:rPr>
                <w:sz w:val="21"/>
              </w:rPr>
            </w:pPr>
            <w:r>
              <w:rPr>
                <w:sz w:val="21"/>
              </w:rPr>
              <w:t>新报、复审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5" w:hRule="atLeast"/>
        </w:trPr>
        <w:tc>
          <w:tcPr>
            <w:tcW w:w="1915" w:type="dxa"/>
            <w:noWrap w:val="0"/>
            <w:vAlign w:val="top"/>
          </w:tcPr>
          <w:p>
            <w:pPr>
              <w:pStyle w:val="18"/>
              <w:spacing w:before="108"/>
              <w:ind w:left="226"/>
              <w:rPr>
                <w:b/>
                <w:sz w:val="21"/>
              </w:rPr>
            </w:pPr>
            <w:r>
              <w:rPr>
                <w:b/>
                <w:sz w:val="21"/>
              </w:rPr>
              <w:t>道路运输资格证</w:t>
            </w:r>
          </w:p>
        </w:tc>
        <w:tc>
          <w:tcPr>
            <w:tcW w:w="2722" w:type="dxa"/>
            <w:noWrap w:val="0"/>
            <w:vAlign w:val="top"/>
          </w:tcPr>
          <w:p>
            <w:pPr>
              <w:pStyle w:val="18"/>
              <w:spacing w:before="108"/>
              <w:ind w:left="419"/>
              <w:rPr>
                <w:sz w:val="21"/>
              </w:rPr>
            </w:pPr>
            <w:r>
              <w:rPr>
                <w:sz w:val="21"/>
              </w:rPr>
              <w:t>道路货物运输驾驶员</w:t>
            </w:r>
          </w:p>
        </w:tc>
        <w:tc>
          <w:tcPr>
            <w:tcW w:w="1928" w:type="dxa"/>
            <w:noWrap w:val="0"/>
            <w:vAlign w:val="top"/>
          </w:tcPr>
          <w:p>
            <w:pPr>
              <w:pStyle w:val="18"/>
              <w:spacing w:before="108"/>
              <w:ind w:left="651"/>
              <w:rPr>
                <w:sz w:val="21"/>
              </w:rPr>
            </w:pPr>
            <w:r>
              <w:rPr>
                <w:sz w:val="21"/>
              </w:rPr>
              <w:t>一个月</w:t>
            </w:r>
          </w:p>
        </w:tc>
        <w:tc>
          <w:tcPr>
            <w:tcW w:w="3542" w:type="dxa"/>
            <w:noWrap w:val="0"/>
            <w:vAlign w:val="top"/>
          </w:tcPr>
          <w:p>
            <w:pPr>
              <w:pStyle w:val="18"/>
              <w:spacing w:before="108"/>
              <w:ind w:left="43" w:right="25"/>
              <w:jc w:val="center"/>
              <w:rPr>
                <w:sz w:val="21"/>
              </w:rPr>
            </w:pPr>
            <w:r>
              <w:rPr>
                <w:sz w:val="21"/>
              </w:rPr>
              <w:t>交通运输部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3" w:hRule="atLeast"/>
        </w:trPr>
        <w:tc>
          <w:tcPr>
            <w:tcW w:w="1915" w:type="dxa"/>
            <w:noWrap w:val="0"/>
            <w:vAlign w:val="top"/>
          </w:tcPr>
          <w:p>
            <w:pPr>
              <w:pStyle w:val="18"/>
              <w:spacing w:before="10"/>
              <w:rPr>
                <w:rFonts w:ascii="Times New Roman"/>
                <w:sz w:val="21"/>
              </w:rPr>
            </w:pPr>
          </w:p>
          <w:p>
            <w:pPr>
              <w:pStyle w:val="18"/>
              <w:ind w:left="330"/>
              <w:rPr>
                <w:b/>
                <w:sz w:val="21"/>
              </w:rPr>
            </w:pPr>
            <w:r>
              <w:rPr>
                <w:b/>
                <w:sz w:val="21"/>
              </w:rPr>
              <w:t>建设厅八大员</w:t>
            </w:r>
          </w:p>
        </w:tc>
        <w:tc>
          <w:tcPr>
            <w:tcW w:w="2722" w:type="dxa"/>
            <w:noWrap w:val="0"/>
            <w:vAlign w:val="top"/>
          </w:tcPr>
          <w:p>
            <w:pPr>
              <w:pStyle w:val="18"/>
              <w:spacing w:before="96" w:line="280" w:lineRule="auto"/>
              <w:ind w:left="111" w:right="80"/>
              <w:rPr>
                <w:sz w:val="21"/>
              </w:rPr>
            </w:pPr>
            <w:r>
              <w:rPr>
                <w:sz w:val="21"/>
              </w:rPr>
              <w:t>施工员、质量员、材料员、机械员、资料员、标准员等</w:t>
            </w:r>
          </w:p>
        </w:tc>
        <w:tc>
          <w:tcPr>
            <w:tcW w:w="1928" w:type="dxa"/>
            <w:noWrap w:val="0"/>
            <w:vAlign w:val="top"/>
          </w:tcPr>
          <w:p>
            <w:pPr>
              <w:pStyle w:val="18"/>
              <w:spacing w:before="1"/>
              <w:rPr>
                <w:rFonts w:ascii="Times New Roman"/>
                <w:sz w:val="22"/>
              </w:rPr>
            </w:pPr>
          </w:p>
          <w:p>
            <w:pPr>
              <w:pStyle w:val="18"/>
              <w:ind w:right="646" w:firstLine="420" w:firstLineChars="200"/>
              <w:jc w:val="both"/>
              <w:rPr>
                <w:sz w:val="21"/>
              </w:rPr>
            </w:pPr>
            <w:r>
              <w:rPr>
                <w:rFonts w:hint="eastAsia" w:ascii="Calibri"/>
                <w:sz w:val="21"/>
                <w:lang w:val="en-US" w:eastAsia="zh-CN"/>
              </w:rPr>
              <w:t>一</w:t>
            </w:r>
            <w:r>
              <w:rPr>
                <w:sz w:val="21"/>
              </w:rPr>
              <w:t>个月</w:t>
            </w:r>
          </w:p>
        </w:tc>
        <w:tc>
          <w:tcPr>
            <w:tcW w:w="3542" w:type="dxa"/>
            <w:noWrap w:val="0"/>
            <w:vAlign w:val="top"/>
          </w:tcPr>
          <w:p>
            <w:pPr>
              <w:pStyle w:val="18"/>
              <w:spacing w:before="10"/>
              <w:rPr>
                <w:rFonts w:ascii="Times New Roman"/>
                <w:sz w:val="21"/>
              </w:rPr>
            </w:pPr>
          </w:p>
          <w:p>
            <w:pPr>
              <w:pStyle w:val="18"/>
              <w:ind w:left="43" w:right="32"/>
              <w:jc w:val="center"/>
              <w:rPr>
                <w:rFonts w:hint="default" w:eastAsia="宋体"/>
                <w:sz w:val="21"/>
                <w:lang w:val="en-US" w:eastAsia="zh-CN"/>
              </w:rPr>
            </w:pPr>
            <w:r>
              <w:rPr>
                <w:sz w:val="21"/>
              </w:rPr>
              <w:t>新考</w:t>
            </w:r>
            <w:r>
              <w:rPr>
                <w:rFonts w:hint="eastAsia"/>
                <w:sz w:val="21"/>
                <w:lang w:eastAsia="zh-CN"/>
              </w:rPr>
              <w:t>、</w:t>
            </w:r>
            <w:r>
              <w:rPr>
                <w:rFonts w:hint="eastAsia"/>
                <w:sz w:val="21"/>
                <w:lang w:val="en-US" w:eastAsia="zh-CN"/>
              </w:rPr>
              <w:t>继续教育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5" w:hRule="atLeast"/>
        </w:trPr>
        <w:tc>
          <w:tcPr>
            <w:tcW w:w="1915" w:type="dxa"/>
            <w:noWrap w:val="0"/>
            <w:vAlign w:val="top"/>
          </w:tcPr>
          <w:p>
            <w:pPr>
              <w:pStyle w:val="18"/>
              <w:spacing w:before="107"/>
              <w:ind w:left="330"/>
              <w:rPr>
                <w:b/>
                <w:sz w:val="21"/>
              </w:rPr>
            </w:pPr>
            <w:r>
              <w:rPr>
                <w:b/>
                <w:sz w:val="21"/>
              </w:rPr>
              <w:t>水利部五大员</w:t>
            </w:r>
          </w:p>
        </w:tc>
        <w:tc>
          <w:tcPr>
            <w:tcW w:w="2722" w:type="dxa"/>
            <w:noWrap w:val="0"/>
            <w:vAlign w:val="top"/>
          </w:tcPr>
          <w:p>
            <w:pPr>
              <w:pStyle w:val="18"/>
              <w:spacing w:before="107"/>
              <w:ind w:right="90"/>
              <w:jc w:val="right"/>
              <w:rPr>
                <w:sz w:val="21"/>
              </w:rPr>
            </w:pPr>
            <w:r>
              <w:rPr>
                <w:w w:val="90"/>
                <w:sz w:val="21"/>
              </w:rPr>
              <w:t>施工、资料、安全、质检员</w:t>
            </w:r>
          </w:p>
        </w:tc>
        <w:tc>
          <w:tcPr>
            <w:tcW w:w="1928" w:type="dxa"/>
            <w:noWrap w:val="0"/>
            <w:vAlign w:val="top"/>
          </w:tcPr>
          <w:p>
            <w:pPr>
              <w:pStyle w:val="18"/>
              <w:spacing w:before="109"/>
              <w:ind w:right="646" w:firstLine="420" w:firstLineChars="200"/>
              <w:jc w:val="both"/>
              <w:rPr>
                <w:sz w:val="21"/>
              </w:rPr>
            </w:pPr>
            <w:r>
              <w:rPr>
                <w:rFonts w:hint="eastAsia"/>
                <w:sz w:val="21"/>
                <w:lang w:val="en-US" w:eastAsia="zh-CN"/>
              </w:rPr>
              <w:t>一个</w:t>
            </w:r>
            <w:r>
              <w:rPr>
                <w:sz w:val="21"/>
              </w:rPr>
              <w:t>月</w:t>
            </w:r>
          </w:p>
        </w:tc>
        <w:tc>
          <w:tcPr>
            <w:tcW w:w="3542" w:type="dxa"/>
            <w:noWrap w:val="0"/>
            <w:vAlign w:val="top"/>
          </w:tcPr>
          <w:p>
            <w:pPr>
              <w:pStyle w:val="18"/>
              <w:spacing w:before="107"/>
              <w:ind w:left="936"/>
              <w:rPr>
                <w:sz w:val="21"/>
              </w:rPr>
            </w:pPr>
            <w:r>
              <w:rPr>
                <w:sz w:val="21"/>
              </w:rPr>
              <w:t>中国水利工程协会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1" w:hRule="atLeast"/>
        </w:trPr>
        <w:tc>
          <w:tcPr>
            <w:tcW w:w="1915" w:type="dxa"/>
            <w:noWrap w:val="0"/>
            <w:vAlign w:val="top"/>
          </w:tcPr>
          <w:p>
            <w:pPr>
              <w:pStyle w:val="18"/>
              <w:spacing w:before="51"/>
              <w:ind w:left="200"/>
              <w:rPr>
                <w:b/>
                <w:sz w:val="21"/>
              </w:rPr>
            </w:pPr>
            <w:r>
              <w:rPr>
                <w:b/>
                <w:w w:val="95"/>
                <w:sz w:val="21"/>
              </w:rPr>
              <w:t>中国建设教育协会</w:t>
            </w:r>
          </w:p>
        </w:tc>
        <w:tc>
          <w:tcPr>
            <w:tcW w:w="2722" w:type="dxa"/>
            <w:noWrap w:val="0"/>
            <w:vAlign w:val="top"/>
          </w:tcPr>
          <w:p>
            <w:pPr>
              <w:pStyle w:val="18"/>
              <w:spacing w:before="51"/>
              <w:ind w:left="104" w:right="87"/>
              <w:jc w:val="center"/>
              <w:rPr>
                <w:sz w:val="21"/>
              </w:rPr>
            </w:pPr>
            <w:r>
              <w:rPr>
                <w:sz w:val="21"/>
              </w:rPr>
              <w:t>十</w:t>
            </w:r>
            <w:r>
              <w:rPr>
                <w:rFonts w:hint="eastAsia"/>
                <w:sz w:val="21"/>
                <w:lang w:val="en-US" w:eastAsia="zh-CN"/>
              </w:rPr>
              <w:t>一</w:t>
            </w:r>
            <w:r>
              <w:rPr>
                <w:sz w:val="21"/>
              </w:rPr>
              <w:t>大员</w:t>
            </w:r>
          </w:p>
        </w:tc>
        <w:tc>
          <w:tcPr>
            <w:tcW w:w="1928" w:type="dxa"/>
            <w:noWrap w:val="0"/>
            <w:vAlign w:val="top"/>
          </w:tcPr>
          <w:p>
            <w:pPr>
              <w:pStyle w:val="18"/>
              <w:spacing w:before="51"/>
              <w:ind w:right="646" w:firstLine="420" w:firstLineChars="200"/>
              <w:jc w:val="both"/>
              <w:rPr>
                <w:sz w:val="21"/>
              </w:rPr>
            </w:pPr>
            <w:r>
              <w:rPr>
                <w:rFonts w:ascii="Calibri" w:eastAsia="Calibri"/>
                <w:sz w:val="21"/>
              </w:rPr>
              <w:t xml:space="preserve">1 </w:t>
            </w:r>
            <w:r>
              <w:rPr>
                <w:sz w:val="21"/>
              </w:rPr>
              <w:t>个月</w:t>
            </w:r>
          </w:p>
        </w:tc>
        <w:tc>
          <w:tcPr>
            <w:tcW w:w="3542" w:type="dxa"/>
            <w:noWrap w:val="0"/>
            <w:vAlign w:val="top"/>
          </w:tcPr>
          <w:p>
            <w:pPr>
              <w:pStyle w:val="18"/>
              <w:spacing w:before="51"/>
              <w:ind w:left="43" w:right="25"/>
              <w:jc w:val="center"/>
              <w:rPr>
                <w:sz w:val="21"/>
              </w:rPr>
            </w:pPr>
            <w:r>
              <w:rPr>
                <w:sz w:val="21"/>
              </w:rPr>
              <w:t>新报、复审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915" w:type="dxa"/>
            <w:vMerge w:val="restart"/>
            <w:noWrap w:val="0"/>
            <w:vAlign w:val="top"/>
          </w:tcPr>
          <w:p>
            <w:pPr>
              <w:pStyle w:val="18"/>
              <w:rPr>
                <w:rFonts w:ascii="Times New Roman"/>
                <w:sz w:val="20"/>
              </w:rPr>
            </w:pPr>
          </w:p>
          <w:p>
            <w:pPr>
              <w:pStyle w:val="18"/>
              <w:ind w:left="0" w:leftChars="0" w:firstLine="0" w:firstLineChars="0"/>
              <w:rPr>
                <w:b/>
                <w:sz w:val="21"/>
              </w:rPr>
            </w:pPr>
          </w:p>
          <w:p>
            <w:pPr>
              <w:pStyle w:val="18"/>
              <w:rPr>
                <w:b/>
                <w:sz w:val="21"/>
              </w:rPr>
            </w:pPr>
            <w:r>
              <w:rPr>
                <w:b/>
                <w:sz w:val="21"/>
              </w:rPr>
              <w:t>执业资格考前培训</w:t>
            </w:r>
          </w:p>
        </w:tc>
        <w:tc>
          <w:tcPr>
            <w:tcW w:w="2722" w:type="dxa"/>
            <w:noWrap w:val="0"/>
            <w:vAlign w:val="top"/>
          </w:tcPr>
          <w:p>
            <w:pPr>
              <w:pStyle w:val="18"/>
              <w:spacing w:before="23" w:line="269" w:lineRule="exact"/>
              <w:ind w:left="839"/>
              <w:rPr>
                <w:sz w:val="21"/>
              </w:rPr>
            </w:pPr>
            <w:r>
              <w:rPr>
                <w:sz w:val="21"/>
              </w:rPr>
              <w:t>一级建造师</w:t>
            </w:r>
          </w:p>
        </w:tc>
        <w:tc>
          <w:tcPr>
            <w:tcW w:w="1928" w:type="dxa"/>
            <w:vMerge w:val="restart"/>
            <w:noWrap w:val="0"/>
            <w:vAlign w:val="top"/>
          </w:tcPr>
          <w:p>
            <w:pPr>
              <w:pStyle w:val="18"/>
              <w:rPr>
                <w:rFonts w:ascii="Times New Roman"/>
                <w:sz w:val="20"/>
              </w:rPr>
            </w:pPr>
          </w:p>
          <w:p>
            <w:pPr>
              <w:pStyle w:val="18"/>
              <w:spacing w:before="2"/>
              <w:rPr>
                <w:rFonts w:ascii="Times New Roman"/>
                <w:sz w:val="24"/>
              </w:rPr>
            </w:pPr>
          </w:p>
          <w:p>
            <w:pPr>
              <w:pStyle w:val="18"/>
              <w:spacing w:line="283" w:lineRule="auto"/>
              <w:ind w:left="548" w:right="529"/>
              <w:rPr>
                <w:sz w:val="21"/>
              </w:rPr>
            </w:pPr>
            <w:r>
              <w:rPr>
                <w:sz w:val="21"/>
              </w:rPr>
              <w:t>每年一次全国统考</w:t>
            </w:r>
          </w:p>
        </w:tc>
        <w:tc>
          <w:tcPr>
            <w:tcW w:w="3542" w:type="dxa"/>
            <w:vMerge w:val="restart"/>
            <w:noWrap w:val="0"/>
            <w:vAlign w:val="top"/>
          </w:tcPr>
          <w:p>
            <w:pPr>
              <w:pStyle w:val="18"/>
              <w:rPr>
                <w:rFonts w:ascii="Times New Roman"/>
                <w:sz w:val="20"/>
              </w:rPr>
            </w:pPr>
          </w:p>
          <w:p>
            <w:pPr>
              <w:pStyle w:val="18"/>
              <w:rPr>
                <w:rFonts w:ascii="Times New Roman"/>
                <w:sz w:val="20"/>
              </w:rPr>
            </w:pPr>
          </w:p>
          <w:p>
            <w:pPr>
              <w:pStyle w:val="18"/>
              <w:ind w:left="0" w:leftChars="0" w:firstLine="630" w:firstLineChars="300"/>
              <w:rPr>
                <w:sz w:val="21"/>
              </w:rPr>
            </w:pPr>
            <w:r>
              <w:rPr>
                <w:sz w:val="21"/>
              </w:rPr>
              <w:t>高端网课及面授课程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915" w:type="dxa"/>
            <w:vMerge w:val="continue"/>
            <w:tcBorders>
              <w:top w:val="nil"/>
            </w:tcBorders>
            <w:noWrap w:val="0"/>
            <w:vAlign w:val="top"/>
          </w:tcPr>
          <w:p>
            <w:pPr>
              <w:rPr>
                <w:sz w:val="2"/>
                <w:szCs w:val="2"/>
              </w:rPr>
            </w:pPr>
          </w:p>
        </w:tc>
        <w:tc>
          <w:tcPr>
            <w:tcW w:w="2722" w:type="dxa"/>
            <w:noWrap w:val="0"/>
            <w:vAlign w:val="top"/>
          </w:tcPr>
          <w:p>
            <w:pPr>
              <w:pStyle w:val="18"/>
              <w:spacing w:before="22" w:line="268" w:lineRule="exact"/>
              <w:ind w:left="839"/>
              <w:rPr>
                <w:sz w:val="21"/>
              </w:rPr>
            </w:pPr>
            <w:r>
              <w:rPr>
                <w:sz w:val="21"/>
              </w:rPr>
              <w:t>二级建造师</w:t>
            </w:r>
          </w:p>
        </w:tc>
        <w:tc>
          <w:tcPr>
            <w:tcW w:w="1928" w:type="dxa"/>
            <w:vMerge w:val="continue"/>
            <w:tcBorders>
              <w:top w:val="nil"/>
            </w:tcBorders>
            <w:noWrap w:val="0"/>
            <w:vAlign w:val="top"/>
          </w:tcPr>
          <w:p>
            <w:pPr>
              <w:rPr>
                <w:sz w:val="2"/>
                <w:szCs w:val="2"/>
              </w:rPr>
            </w:pPr>
          </w:p>
        </w:tc>
        <w:tc>
          <w:tcPr>
            <w:tcW w:w="3542" w:type="dxa"/>
            <w:vMerge w:val="continue"/>
            <w:tcBorders>
              <w:top w:val="nil"/>
            </w:tcBorders>
            <w:noWrap w:val="0"/>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915" w:type="dxa"/>
            <w:vMerge w:val="continue"/>
            <w:tcBorders>
              <w:top w:val="nil"/>
            </w:tcBorders>
            <w:noWrap w:val="0"/>
            <w:vAlign w:val="top"/>
          </w:tcPr>
          <w:p>
            <w:pPr>
              <w:rPr>
                <w:sz w:val="2"/>
                <w:szCs w:val="2"/>
              </w:rPr>
            </w:pPr>
          </w:p>
        </w:tc>
        <w:tc>
          <w:tcPr>
            <w:tcW w:w="2722" w:type="dxa"/>
            <w:noWrap w:val="0"/>
            <w:vAlign w:val="top"/>
          </w:tcPr>
          <w:p>
            <w:pPr>
              <w:pStyle w:val="18"/>
              <w:spacing w:before="21"/>
              <w:ind w:left="839"/>
              <w:rPr>
                <w:sz w:val="21"/>
              </w:rPr>
            </w:pPr>
            <w:r>
              <w:rPr>
                <w:sz w:val="21"/>
              </w:rPr>
              <w:t>安全工程师</w:t>
            </w:r>
          </w:p>
        </w:tc>
        <w:tc>
          <w:tcPr>
            <w:tcW w:w="1928" w:type="dxa"/>
            <w:vMerge w:val="continue"/>
            <w:tcBorders>
              <w:top w:val="nil"/>
            </w:tcBorders>
            <w:noWrap w:val="0"/>
            <w:vAlign w:val="top"/>
          </w:tcPr>
          <w:p>
            <w:pPr>
              <w:rPr>
                <w:sz w:val="2"/>
                <w:szCs w:val="2"/>
              </w:rPr>
            </w:pPr>
          </w:p>
        </w:tc>
        <w:tc>
          <w:tcPr>
            <w:tcW w:w="3542" w:type="dxa"/>
            <w:vMerge w:val="continue"/>
            <w:tcBorders>
              <w:top w:val="nil"/>
            </w:tcBorders>
            <w:noWrap w:val="0"/>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1915" w:type="dxa"/>
            <w:vMerge w:val="continue"/>
            <w:tcBorders>
              <w:top w:val="nil"/>
            </w:tcBorders>
            <w:noWrap w:val="0"/>
            <w:vAlign w:val="top"/>
          </w:tcPr>
          <w:p>
            <w:pPr>
              <w:rPr>
                <w:sz w:val="2"/>
                <w:szCs w:val="2"/>
              </w:rPr>
            </w:pPr>
          </w:p>
        </w:tc>
        <w:tc>
          <w:tcPr>
            <w:tcW w:w="2722" w:type="dxa"/>
            <w:noWrap w:val="0"/>
            <w:vAlign w:val="top"/>
          </w:tcPr>
          <w:p>
            <w:pPr>
              <w:pStyle w:val="18"/>
              <w:spacing w:before="23" w:line="268" w:lineRule="exact"/>
              <w:ind w:left="839"/>
              <w:rPr>
                <w:sz w:val="21"/>
              </w:rPr>
            </w:pPr>
            <w:r>
              <w:rPr>
                <w:sz w:val="21"/>
              </w:rPr>
              <w:t>监理工程师</w:t>
            </w:r>
          </w:p>
        </w:tc>
        <w:tc>
          <w:tcPr>
            <w:tcW w:w="1928" w:type="dxa"/>
            <w:vMerge w:val="continue"/>
            <w:tcBorders>
              <w:top w:val="nil"/>
            </w:tcBorders>
            <w:noWrap w:val="0"/>
            <w:vAlign w:val="top"/>
          </w:tcPr>
          <w:p>
            <w:pPr>
              <w:rPr>
                <w:sz w:val="2"/>
                <w:szCs w:val="2"/>
              </w:rPr>
            </w:pPr>
          </w:p>
        </w:tc>
        <w:tc>
          <w:tcPr>
            <w:tcW w:w="3542" w:type="dxa"/>
            <w:vMerge w:val="continue"/>
            <w:tcBorders>
              <w:top w:val="nil"/>
            </w:tcBorders>
            <w:noWrap w:val="0"/>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915" w:type="dxa"/>
            <w:vMerge w:val="continue"/>
            <w:tcBorders>
              <w:top w:val="nil"/>
            </w:tcBorders>
            <w:noWrap w:val="0"/>
            <w:vAlign w:val="top"/>
          </w:tcPr>
          <w:p>
            <w:pPr>
              <w:rPr>
                <w:sz w:val="2"/>
                <w:szCs w:val="2"/>
              </w:rPr>
            </w:pPr>
          </w:p>
        </w:tc>
        <w:tc>
          <w:tcPr>
            <w:tcW w:w="2722" w:type="dxa"/>
            <w:noWrap w:val="0"/>
            <w:vAlign w:val="top"/>
          </w:tcPr>
          <w:p>
            <w:pPr>
              <w:pStyle w:val="18"/>
              <w:spacing w:before="21"/>
              <w:ind w:left="839"/>
              <w:rPr>
                <w:sz w:val="21"/>
              </w:rPr>
            </w:pPr>
            <w:r>
              <w:rPr>
                <w:sz w:val="21"/>
              </w:rPr>
              <w:t>造价工程师</w:t>
            </w:r>
          </w:p>
        </w:tc>
        <w:tc>
          <w:tcPr>
            <w:tcW w:w="1928" w:type="dxa"/>
            <w:vMerge w:val="continue"/>
            <w:tcBorders>
              <w:top w:val="nil"/>
            </w:tcBorders>
            <w:noWrap w:val="0"/>
            <w:vAlign w:val="top"/>
          </w:tcPr>
          <w:p>
            <w:pPr>
              <w:rPr>
                <w:sz w:val="2"/>
                <w:szCs w:val="2"/>
              </w:rPr>
            </w:pPr>
          </w:p>
        </w:tc>
        <w:tc>
          <w:tcPr>
            <w:tcW w:w="3542" w:type="dxa"/>
            <w:vMerge w:val="continue"/>
            <w:tcBorders>
              <w:top w:val="nil"/>
            </w:tcBorders>
            <w:noWrap w:val="0"/>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7" w:hRule="atLeast"/>
        </w:trPr>
        <w:tc>
          <w:tcPr>
            <w:tcW w:w="1915" w:type="dxa"/>
            <w:noWrap w:val="0"/>
            <w:vAlign w:val="top"/>
          </w:tcPr>
          <w:p>
            <w:pPr>
              <w:pStyle w:val="18"/>
              <w:spacing w:before="49"/>
              <w:ind w:left="531"/>
              <w:rPr>
                <w:b/>
                <w:sz w:val="21"/>
              </w:rPr>
            </w:pPr>
            <w:r>
              <w:rPr>
                <w:b/>
                <w:sz w:val="21"/>
              </w:rPr>
              <w:t>继续教育</w:t>
            </w:r>
          </w:p>
        </w:tc>
        <w:tc>
          <w:tcPr>
            <w:tcW w:w="2722" w:type="dxa"/>
            <w:noWrap w:val="0"/>
            <w:vAlign w:val="top"/>
          </w:tcPr>
          <w:p>
            <w:pPr>
              <w:pStyle w:val="18"/>
              <w:spacing w:before="49"/>
              <w:ind w:left="630"/>
              <w:rPr>
                <w:sz w:val="21"/>
              </w:rPr>
            </w:pPr>
            <w:r>
              <w:rPr>
                <w:sz w:val="21"/>
              </w:rPr>
              <w:t>一、二级建造师</w:t>
            </w:r>
          </w:p>
        </w:tc>
        <w:tc>
          <w:tcPr>
            <w:tcW w:w="1928" w:type="dxa"/>
            <w:noWrap w:val="0"/>
            <w:vAlign w:val="top"/>
          </w:tcPr>
          <w:p>
            <w:pPr>
              <w:pStyle w:val="18"/>
              <w:spacing w:before="49"/>
              <w:ind w:left="548"/>
              <w:rPr>
                <w:sz w:val="21"/>
              </w:rPr>
            </w:pPr>
            <w:r>
              <w:rPr>
                <w:sz w:val="21"/>
              </w:rPr>
              <w:t>一周</w:t>
            </w:r>
          </w:p>
        </w:tc>
        <w:tc>
          <w:tcPr>
            <w:tcW w:w="3542" w:type="dxa"/>
            <w:noWrap w:val="0"/>
            <w:vAlign w:val="top"/>
          </w:tcPr>
          <w:p>
            <w:pPr>
              <w:pStyle w:val="18"/>
              <w:spacing w:before="49"/>
              <w:ind w:left="1356"/>
              <w:rPr>
                <w:sz w:val="21"/>
              </w:rPr>
            </w:pPr>
            <w:r>
              <w:rPr>
                <w:sz w:val="21"/>
              </w:rPr>
              <w:t>刷课时、考试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7" w:hRule="atLeast"/>
        </w:trPr>
        <w:tc>
          <w:tcPr>
            <w:tcW w:w="1915" w:type="dxa"/>
            <w:noWrap w:val="0"/>
            <w:vAlign w:val="top"/>
          </w:tcPr>
          <w:p>
            <w:pPr>
              <w:pStyle w:val="18"/>
              <w:spacing w:before="51"/>
              <w:ind w:left="214"/>
              <w:rPr>
                <w:b/>
                <w:sz w:val="21"/>
              </w:rPr>
            </w:pPr>
            <w:r>
              <w:rPr>
                <w:b/>
                <w:sz w:val="21"/>
              </w:rPr>
              <w:t>陕西建协八大员</w:t>
            </w:r>
          </w:p>
        </w:tc>
        <w:tc>
          <w:tcPr>
            <w:tcW w:w="2722" w:type="dxa"/>
            <w:noWrap w:val="0"/>
            <w:vAlign w:val="top"/>
          </w:tcPr>
          <w:p>
            <w:pPr>
              <w:pStyle w:val="18"/>
              <w:spacing w:before="51"/>
              <w:ind w:left="104" w:right="87"/>
              <w:jc w:val="center"/>
              <w:rPr>
                <w:sz w:val="21"/>
              </w:rPr>
            </w:pPr>
            <w:r>
              <w:rPr>
                <w:sz w:val="21"/>
              </w:rPr>
              <w:t>十</w:t>
            </w:r>
            <w:r>
              <w:rPr>
                <w:rFonts w:hint="eastAsia"/>
                <w:sz w:val="21"/>
                <w:lang w:val="en-US" w:eastAsia="zh-CN"/>
              </w:rPr>
              <w:t>一</w:t>
            </w:r>
            <w:r>
              <w:rPr>
                <w:sz w:val="21"/>
              </w:rPr>
              <w:t>大员</w:t>
            </w:r>
          </w:p>
        </w:tc>
        <w:tc>
          <w:tcPr>
            <w:tcW w:w="1928" w:type="dxa"/>
            <w:noWrap w:val="0"/>
            <w:vAlign w:val="top"/>
          </w:tcPr>
          <w:p>
            <w:pPr>
              <w:pStyle w:val="18"/>
              <w:spacing w:before="51"/>
              <w:ind w:left="548"/>
              <w:rPr>
                <w:sz w:val="21"/>
              </w:rPr>
            </w:pPr>
            <w:r>
              <w:rPr>
                <w:rFonts w:hint="eastAsia" w:ascii="Calibri"/>
                <w:sz w:val="21"/>
                <w:lang w:val="en-US" w:eastAsia="zh-CN"/>
              </w:rPr>
              <w:t>一</w:t>
            </w:r>
            <w:r>
              <w:rPr>
                <w:sz w:val="21"/>
              </w:rPr>
              <w:t>个月</w:t>
            </w:r>
          </w:p>
        </w:tc>
        <w:tc>
          <w:tcPr>
            <w:tcW w:w="3542" w:type="dxa"/>
            <w:noWrap w:val="0"/>
            <w:vAlign w:val="top"/>
          </w:tcPr>
          <w:p>
            <w:pPr>
              <w:pStyle w:val="18"/>
              <w:spacing w:before="51"/>
              <w:ind w:left="425"/>
              <w:rPr>
                <w:sz w:val="21"/>
              </w:rPr>
            </w:pPr>
            <w:r>
              <w:rPr>
                <w:sz w:val="21"/>
              </w:rPr>
              <w:t>陕西建协职业技能鉴定中心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1915" w:type="dxa"/>
            <w:noWrap w:val="0"/>
            <w:vAlign w:val="top"/>
          </w:tcPr>
          <w:p>
            <w:pPr>
              <w:pStyle w:val="18"/>
              <w:spacing w:before="49"/>
              <w:ind w:left="322"/>
              <w:rPr>
                <w:b/>
                <w:sz w:val="21"/>
              </w:rPr>
            </w:pPr>
            <w:r>
              <w:rPr>
                <w:b/>
                <w:sz w:val="21"/>
              </w:rPr>
              <w:t>全国造价员</w:t>
            </w:r>
          </w:p>
        </w:tc>
        <w:tc>
          <w:tcPr>
            <w:tcW w:w="2722" w:type="dxa"/>
            <w:noWrap w:val="0"/>
            <w:vAlign w:val="top"/>
          </w:tcPr>
          <w:p>
            <w:pPr>
              <w:pStyle w:val="18"/>
              <w:spacing w:before="49"/>
              <w:ind w:left="839"/>
              <w:rPr>
                <w:sz w:val="21"/>
              </w:rPr>
            </w:pPr>
            <w:r>
              <w:rPr>
                <w:sz w:val="21"/>
              </w:rPr>
              <w:t>土建、安装</w:t>
            </w:r>
          </w:p>
        </w:tc>
        <w:tc>
          <w:tcPr>
            <w:tcW w:w="1928" w:type="dxa"/>
            <w:noWrap w:val="0"/>
            <w:vAlign w:val="top"/>
          </w:tcPr>
          <w:p>
            <w:pPr>
              <w:pStyle w:val="18"/>
              <w:spacing w:before="52"/>
              <w:ind w:firstLine="420" w:firstLineChars="200"/>
              <w:rPr>
                <w:sz w:val="21"/>
              </w:rPr>
            </w:pPr>
            <w:r>
              <w:rPr>
                <w:rFonts w:hint="eastAsia" w:ascii="Calibri"/>
                <w:sz w:val="21"/>
                <w:lang w:val="en-US" w:eastAsia="zh-CN"/>
              </w:rPr>
              <w:t>一</w:t>
            </w:r>
            <w:r>
              <w:rPr>
                <w:sz w:val="21"/>
              </w:rPr>
              <w:t>个月</w:t>
            </w:r>
          </w:p>
        </w:tc>
        <w:tc>
          <w:tcPr>
            <w:tcW w:w="3542" w:type="dxa"/>
            <w:noWrap w:val="0"/>
            <w:vAlign w:val="top"/>
          </w:tcPr>
          <w:p>
            <w:pPr>
              <w:pStyle w:val="18"/>
              <w:spacing w:before="49"/>
              <w:ind w:left="936"/>
              <w:rPr>
                <w:sz w:val="21"/>
              </w:rPr>
            </w:pPr>
            <w:r>
              <w:rPr>
                <w:sz w:val="21"/>
              </w:rPr>
              <w:t>考二级造价师可免科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1" w:hRule="atLeast"/>
        </w:trPr>
        <w:tc>
          <w:tcPr>
            <w:tcW w:w="1915" w:type="dxa"/>
            <w:vMerge w:val="restart"/>
            <w:noWrap w:val="0"/>
            <w:vAlign w:val="top"/>
          </w:tcPr>
          <w:p>
            <w:pPr>
              <w:pStyle w:val="18"/>
              <w:rPr>
                <w:rFonts w:ascii="Times New Roman"/>
                <w:sz w:val="20"/>
              </w:rPr>
            </w:pPr>
          </w:p>
          <w:p>
            <w:pPr>
              <w:pStyle w:val="18"/>
              <w:ind w:left="0" w:leftChars="0" w:firstLine="422" w:firstLineChars="200"/>
              <w:rPr>
                <w:b/>
                <w:sz w:val="21"/>
              </w:rPr>
            </w:pPr>
            <w:r>
              <w:rPr>
                <w:b/>
                <w:sz w:val="21"/>
              </w:rPr>
              <w:t>成人学历教育</w:t>
            </w:r>
          </w:p>
          <w:p>
            <w:pPr>
              <w:pStyle w:val="18"/>
              <w:spacing w:before="45" w:line="283" w:lineRule="auto"/>
              <w:ind w:left="330" w:right="96" w:hanging="209"/>
              <w:rPr>
                <w:b/>
                <w:sz w:val="21"/>
              </w:rPr>
            </w:pPr>
            <w:r>
              <w:rPr>
                <w:b/>
                <w:sz w:val="21"/>
              </w:rPr>
              <w:t>（成人中专、高起专、专升本）</w:t>
            </w:r>
          </w:p>
        </w:tc>
        <w:tc>
          <w:tcPr>
            <w:tcW w:w="2722" w:type="dxa"/>
            <w:noWrap w:val="0"/>
            <w:vAlign w:val="top"/>
          </w:tcPr>
          <w:p>
            <w:pPr>
              <w:pStyle w:val="18"/>
              <w:spacing w:before="61"/>
              <w:ind w:left="735"/>
              <w:rPr>
                <w:sz w:val="21"/>
              </w:rPr>
            </w:pPr>
            <w:r>
              <w:rPr>
                <w:sz w:val="21"/>
              </w:rPr>
              <w:t>国家开放大学</w:t>
            </w:r>
          </w:p>
        </w:tc>
        <w:tc>
          <w:tcPr>
            <w:tcW w:w="1928" w:type="dxa"/>
            <w:vMerge w:val="restart"/>
            <w:noWrap w:val="0"/>
            <w:vAlign w:val="top"/>
          </w:tcPr>
          <w:p>
            <w:pPr>
              <w:pStyle w:val="18"/>
              <w:spacing w:before="11"/>
              <w:ind w:left="0" w:leftChars="0" w:firstLine="0" w:firstLineChars="0"/>
              <w:rPr>
                <w:rFonts w:ascii="Times New Roman"/>
                <w:sz w:val="30"/>
              </w:rPr>
            </w:pPr>
          </w:p>
          <w:p>
            <w:pPr>
              <w:pStyle w:val="18"/>
              <w:ind w:left="469"/>
              <w:rPr>
                <w:sz w:val="21"/>
              </w:rPr>
            </w:pPr>
            <w:r>
              <w:rPr>
                <w:sz w:val="21"/>
              </w:rPr>
              <w:t xml:space="preserve">学制 </w:t>
            </w:r>
            <w:r>
              <w:rPr>
                <w:rFonts w:ascii="Calibri" w:eastAsia="Calibri"/>
                <w:sz w:val="21"/>
              </w:rPr>
              <w:t xml:space="preserve">2.5 </w:t>
            </w:r>
            <w:r>
              <w:rPr>
                <w:sz w:val="21"/>
              </w:rPr>
              <w:t>年</w:t>
            </w:r>
          </w:p>
        </w:tc>
        <w:tc>
          <w:tcPr>
            <w:tcW w:w="3542" w:type="dxa"/>
            <w:vMerge w:val="restart"/>
            <w:noWrap w:val="0"/>
            <w:vAlign w:val="top"/>
          </w:tcPr>
          <w:p>
            <w:pPr>
              <w:pStyle w:val="18"/>
              <w:spacing w:before="93"/>
              <w:ind w:left="43" w:right="37"/>
              <w:jc w:val="center"/>
              <w:rPr>
                <w:rFonts w:ascii="Calibri" w:eastAsia="Calibri"/>
                <w:sz w:val="21"/>
              </w:rPr>
            </w:pPr>
            <w:r>
              <w:rPr>
                <w:sz w:val="21"/>
              </w:rPr>
              <w:t xml:space="preserve">春秋两季；春季 </w:t>
            </w:r>
            <w:r>
              <w:rPr>
                <w:rFonts w:ascii="Calibri" w:eastAsia="Calibri"/>
                <w:sz w:val="21"/>
              </w:rPr>
              <w:t>2</w:t>
            </w:r>
            <w:r>
              <w:rPr>
                <w:sz w:val="21"/>
              </w:rPr>
              <w:t>月底截止，秋季</w:t>
            </w:r>
            <w:r>
              <w:rPr>
                <w:rFonts w:ascii="Calibri" w:eastAsia="Calibri"/>
                <w:sz w:val="21"/>
              </w:rPr>
              <w:t>8</w:t>
            </w:r>
          </w:p>
          <w:p>
            <w:pPr>
              <w:pStyle w:val="18"/>
              <w:spacing w:before="43"/>
              <w:ind w:left="43" w:right="27"/>
              <w:jc w:val="center"/>
              <w:rPr>
                <w:sz w:val="21"/>
              </w:rPr>
            </w:pPr>
            <w:r>
              <w:rPr>
                <w:sz w:val="21"/>
              </w:rPr>
              <w:t>月份截止。（入学简单）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trPr>
        <w:tc>
          <w:tcPr>
            <w:tcW w:w="1915" w:type="dxa"/>
            <w:vMerge w:val="continue"/>
            <w:tcBorders>
              <w:top w:val="nil"/>
            </w:tcBorders>
            <w:noWrap w:val="0"/>
            <w:vAlign w:val="top"/>
          </w:tcPr>
          <w:p>
            <w:pPr>
              <w:rPr>
                <w:sz w:val="2"/>
                <w:szCs w:val="2"/>
              </w:rPr>
            </w:pPr>
          </w:p>
        </w:tc>
        <w:tc>
          <w:tcPr>
            <w:tcW w:w="2722" w:type="dxa"/>
            <w:vMerge w:val="restart"/>
            <w:noWrap w:val="0"/>
            <w:vAlign w:val="top"/>
          </w:tcPr>
          <w:p>
            <w:pPr>
              <w:pStyle w:val="18"/>
              <w:spacing w:before="67" w:line="280" w:lineRule="auto"/>
              <w:ind w:left="210" w:right="82" w:hanging="101"/>
              <w:rPr>
                <w:sz w:val="21"/>
              </w:rPr>
            </w:pPr>
            <w:r>
              <w:rPr>
                <w:sz w:val="21"/>
              </w:rPr>
              <w:t>西</w:t>
            </w:r>
            <w:r>
              <w:rPr>
                <w:rFonts w:hint="eastAsia"/>
                <w:sz w:val="21"/>
                <w:lang w:val="en-US" w:eastAsia="zh-CN"/>
              </w:rPr>
              <w:t>北</w:t>
            </w:r>
            <w:r>
              <w:rPr>
                <w:sz w:val="21"/>
              </w:rPr>
              <w:t>大学、西安建筑科技大学、西安理工大学</w:t>
            </w:r>
            <w:r>
              <w:rPr>
                <w:rFonts w:hint="eastAsia"/>
                <w:sz w:val="21"/>
                <w:lang w:eastAsia="zh-CN"/>
              </w:rPr>
              <w:t>、</w:t>
            </w:r>
            <w:r>
              <w:rPr>
                <w:rFonts w:hint="eastAsia"/>
                <w:sz w:val="21"/>
                <w:lang w:val="en-US" w:eastAsia="zh-CN"/>
              </w:rPr>
              <w:t>西安外事学院</w:t>
            </w:r>
            <w:r>
              <w:rPr>
                <w:sz w:val="21"/>
              </w:rPr>
              <w:t>等</w:t>
            </w:r>
          </w:p>
        </w:tc>
        <w:tc>
          <w:tcPr>
            <w:tcW w:w="1928" w:type="dxa"/>
            <w:vMerge w:val="continue"/>
            <w:tcBorders>
              <w:top w:val="nil"/>
            </w:tcBorders>
            <w:noWrap w:val="0"/>
            <w:vAlign w:val="top"/>
          </w:tcPr>
          <w:p>
            <w:pPr>
              <w:rPr>
                <w:sz w:val="2"/>
                <w:szCs w:val="2"/>
              </w:rPr>
            </w:pPr>
          </w:p>
        </w:tc>
        <w:tc>
          <w:tcPr>
            <w:tcW w:w="3542" w:type="dxa"/>
            <w:vMerge w:val="continue"/>
            <w:tcBorders>
              <w:top w:val="nil"/>
            </w:tcBorders>
            <w:noWrap w:val="0"/>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5" w:hRule="atLeast"/>
        </w:trPr>
        <w:tc>
          <w:tcPr>
            <w:tcW w:w="1915" w:type="dxa"/>
            <w:vMerge w:val="continue"/>
            <w:tcBorders>
              <w:top w:val="nil"/>
            </w:tcBorders>
            <w:noWrap w:val="0"/>
            <w:vAlign w:val="top"/>
          </w:tcPr>
          <w:p>
            <w:pPr>
              <w:rPr>
                <w:sz w:val="2"/>
                <w:szCs w:val="2"/>
              </w:rPr>
            </w:pPr>
          </w:p>
        </w:tc>
        <w:tc>
          <w:tcPr>
            <w:tcW w:w="2722" w:type="dxa"/>
            <w:vMerge w:val="continue"/>
            <w:tcBorders>
              <w:top w:val="nil"/>
            </w:tcBorders>
            <w:noWrap w:val="0"/>
            <w:vAlign w:val="top"/>
          </w:tcPr>
          <w:p>
            <w:pPr>
              <w:rPr>
                <w:sz w:val="2"/>
                <w:szCs w:val="2"/>
              </w:rPr>
            </w:pPr>
          </w:p>
        </w:tc>
        <w:tc>
          <w:tcPr>
            <w:tcW w:w="1928" w:type="dxa"/>
            <w:vMerge w:val="continue"/>
            <w:tcBorders>
              <w:top w:val="nil"/>
            </w:tcBorders>
            <w:noWrap w:val="0"/>
            <w:vAlign w:val="top"/>
          </w:tcPr>
          <w:p>
            <w:pPr>
              <w:rPr>
                <w:sz w:val="2"/>
                <w:szCs w:val="2"/>
              </w:rPr>
            </w:pPr>
          </w:p>
        </w:tc>
        <w:tc>
          <w:tcPr>
            <w:tcW w:w="3542" w:type="dxa"/>
            <w:noWrap w:val="0"/>
            <w:vAlign w:val="top"/>
          </w:tcPr>
          <w:p>
            <w:pPr>
              <w:pStyle w:val="18"/>
              <w:spacing w:before="70" w:line="278" w:lineRule="auto"/>
              <w:ind w:left="410" w:right="114" w:hanging="291"/>
              <w:rPr>
                <w:sz w:val="21"/>
              </w:rPr>
            </w:pPr>
            <w:r>
              <w:rPr>
                <w:rFonts w:ascii="Calibri" w:eastAsia="Calibri"/>
                <w:sz w:val="21"/>
              </w:rPr>
              <w:t>8</w:t>
            </w:r>
            <w:r>
              <w:rPr>
                <w:sz w:val="21"/>
              </w:rPr>
              <w:t>月份截止，</w:t>
            </w:r>
            <w:r>
              <w:rPr>
                <w:rFonts w:hint="eastAsia"/>
                <w:sz w:val="21"/>
                <w:lang w:val="en-US" w:eastAsia="zh-CN"/>
              </w:rPr>
              <w:t>9</w:t>
            </w:r>
            <w:r>
              <w:rPr>
                <w:sz w:val="21"/>
              </w:rPr>
              <w:t>月网报，</w:t>
            </w:r>
            <w:r>
              <w:rPr>
                <w:rFonts w:ascii="Calibri" w:eastAsia="Calibri"/>
                <w:sz w:val="21"/>
              </w:rPr>
              <w:t>1</w:t>
            </w:r>
            <w:r>
              <w:rPr>
                <w:rFonts w:hint="eastAsia" w:ascii="Calibri"/>
                <w:sz w:val="21"/>
                <w:lang w:val="en-US" w:eastAsia="zh-CN"/>
              </w:rPr>
              <w:t>0</w:t>
            </w:r>
            <w:r>
              <w:rPr>
                <w:sz w:val="21"/>
              </w:rPr>
              <w:t>月份国家组织全国统考。（毕业简单）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915" w:type="dxa"/>
            <w:vMerge w:val="continue"/>
            <w:tcBorders>
              <w:top w:val="nil"/>
            </w:tcBorders>
            <w:noWrap w:val="0"/>
            <w:vAlign w:val="top"/>
          </w:tcPr>
          <w:p>
            <w:pPr>
              <w:rPr>
                <w:sz w:val="2"/>
                <w:szCs w:val="2"/>
              </w:rPr>
            </w:pPr>
          </w:p>
        </w:tc>
        <w:tc>
          <w:tcPr>
            <w:tcW w:w="2722" w:type="dxa"/>
            <w:noWrap w:val="0"/>
            <w:vAlign w:val="top"/>
          </w:tcPr>
          <w:p>
            <w:pPr>
              <w:pStyle w:val="18"/>
              <w:spacing w:before="22"/>
              <w:ind w:left="315"/>
              <w:rPr>
                <w:sz w:val="21"/>
              </w:rPr>
            </w:pPr>
            <w:r>
              <w:rPr>
                <w:sz w:val="21"/>
              </w:rPr>
              <w:t>中央电中（成人中专）</w:t>
            </w:r>
          </w:p>
        </w:tc>
        <w:tc>
          <w:tcPr>
            <w:tcW w:w="1928" w:type="dxa"/>
            <w:noWrap w:val="0"/>
            <w:vAlign w:val="top"/>
          </w:tcPr>
          <w:p>
            <w:pPr>
              <w:pStyle w:val="18"/>
              <w:spacing w:before="22"/>
              <w:ind w:left="651"/>
              <w:rPr>
                <w:sz w:val="21"/>
              </w:rPr>
            </w:pPr>
            <w:r>
              <w:rPr>
                <w:sz w:val="21"/>
              </w:rPr>
              <w:t>一年制</w:t>
            </w:r>
          </w:p>
        </w:tc>
        <w:tc>
          <w:tcPr>
            <w:tcW w:w="3542" w:type="dxa"/>
            <w:noWrap w:val="0"/>
            <w:vAlign w:val="top"/>
          </w:tcPr>
          <w:p>
            <w:pPr>
              <w:pStyle w:val="18"/>
              <w:spacing w:before="22"/>
              <w:ind w:left="1145"/>
              <w:rPr>
                <w:sz w:val="21"/>
              </w:rPr>
            </w:pPr>
            <w:r>
              <w:rPr>
                <w:sz w:val="21"/>
              </w:rPr>
              <w:t>快速考二建神器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0" w:hRule="atLeast"/>
        </w:trPr>
        <w:tc>
          <w:tcPr>
            <w:tcW w:w="1915" w:type="dxa"/>
            <w:noWrap w:val="0"/>
            <w:vAlign w:val="top"/>
          </w:tcPr>
          <w:p>
            <w:pPr>
              <w:pStyle w:val="18"/>
              <w:spacing w:before="50"/>
              <w:ind w:left="330"/>
              <w:rPr>
                <w:b/>
                <w:sz w:val="21"/>
              </w:rPr>
            </w:pPr>
            <w:r>
              <w:rPr>
                <w:b/>
                <w:sz w:val="21"/>
              </w:rPr>
              <w:t>全国城建中心</w:t>
            </w:r>
          </w:p>
        </w:tc>
        <w:tc>
          <w:tcPr>
            <w:tcW w:w="2722" w:type="dxa"/>
            <w:noWrap w:val="0"/>
            <w:vAlign w:val="top"/>
          </w:tcPr>
          <w:p>
            <w:pPr>
              <w:pStyle w:val="18"/>
              <w:spacing w:before="50"/>
              <w:ind w:left="315"/>
              <w:rPr>
                <w:sz w:val="21"/>
              </w:rPr>
            </w:pPr>
            <w:r>
              <w:rPr>
                <w:sz w:val="21"/>
              </w:rPr>
              <w:t>物业经理、房产经纪人</w:t>
            </w:r>
          </w:p>
        </w:tc>
        <w:tc>
          <w:tcPr>
            <w:tcW w:w="1928" w:type="dxa"/>
            <w:noWrap w:val="0"/>
            <w:vAlign w:val="top"/>
          </w:tcPr>
          <w:p>
            <w:pPr>
              <w:pStyle w:val="18"/>
              <w:spacing w:before="53"/>
              <w:ind w:right="646" w:firstLine="420" w:firstLineChars="200"/>
              <w:jc w:val="both"/>
              <w:rPr>
                <w:sz w:val="21"/>
              </w:rPr>
            </w:pPr>
            <w:r>
              <w:rPr>
                <w:rFonts w:hint="eastAsia" w:ascii="Calibri"/>
                <w:sz w:val="21"/>
                <w:lang w:val="en-US" w:eastAsia="zh-CN"/>
              </w:rPr>
              <w:t>一</w:t>
            </w:r>
            <w:r>
              <w:rPr>
                <w:sz w:val="21"/>
              </w:rPr>
              <w:t>个月</w:t>
            </w:r>
          </w:p>
        </w:tc>
        <w:tc>
          <w:tcPr>
            <w:tcW w:w="3542" w:type="dxa"/>
            <w:noWrap w:val="0"/>
            <w:vAlign w:val="top"/>
          </w:tcPr>
          <w:p>
            <w:pPr>
              <w:pStyle w:val="18"/>
              <w:spacing w:before="50"/>
              <w:ind w:left="1145"/>
              <w:rPr>
                <w:sz w:val="21"/>
              </w:rPr>
            </w:pPr>
            <w:r>
              <w:rPr>
                <w:sz w:val="21"/>
              </w:rPr>
              <w:t>官网查询，全国统用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7" w:hRule="atLeast"/>
        </w:trPr>
        <w:tc>
          <w:tcPr>
            <w:tcW w:w="1915" w:type="dxa"/>
            <w:noWrap w:val="0"/>
            <w:vAlign w:val="top"/>
          </w:tcPr>
          <w:p>
            <w:pPr>
              <w:pStyle w:val="18"/>
              <w:spacing w:before="2"/>
              <w:ind w:left="325"/>
              <w:rPr>
                <w:b/>
                <w:sz w:val="21"/>
              </w:rPr>
            </w:pPr>
            <w:r>
              <w:rPr>
                <w:b/>
                <w:sz w:val="21"/>
              </w:rPr>
              <w:t>省监理工程师</w:t>
            </w:r>
          </w:p>
        </w:tc>
        <w:tc>
          <w:tcPr>
            <w:tcW w:w="2722" w:type="dxa"/>
            <w:noWrap w:val="0"/>
            <w:vAlign w:val="top"/>
          </w:tcPr>
          <w:p>
            <w:pPr>
              <w:pStyle w:val="18"/>
              <w:spacing w:before="49"/>
              <w:ind w:left="102" w:right="87"/>
              <w:jc w:val="center"/>
              <w:rPr>
                <w:sz w:val="21"/>
              </w:rPr>
            </w:pPr>
            <w:r>
              <w:rPr>
                <w:sz w:val="21"/>
              </w:rPr>
              <w:t>继续教育</w:t>
            </w:r>
          </w:p>
        </w:tc>
        <w:tc>
          <w:tcPr>
            <w:tcW w:w="1928" w:type="dxa"/>
            <w:noWrap w:val="0"/>
            <w:vAlign w:val="top"/>
          </w:tcPr>
          <w:p>
            <w:pPr>
              <w:pStyle w:val="18"/>
              <w:rPr>
                <w:rFonts w:ascii="Times New Roman"/>
                <w:sz w:val="18"/>
              </w:rPr>
            </w:pPr>
          </w:p>
        </w:tc>
        <w:tc>
          <w:tcPr>
            <w:tcW w:w="3542" w:type="dxa"/>
            <w:noWrap w:val="0"/>
            <w:vAlign w:val="top"/>
          </w:tcPr>
          <w:p>
            <w:pPr>
              <w:pStyle w:val="18"/>
              <w:spacing w:before="177" w:line="251" w:lineRule="exact"/>
              <w:ind w:left="1034"/>
              <w:rPr>
                <w:sz w:val="21"/>
              </w:rPr>
            </w:pPr>
            <w:r>
              <w:rPr>
                <w:sz w:val="21"/>
              </w:rPr>
              <w:t>省监理协会颁发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1915" w:type="dxa"/>
            <w:noWrap w:val="0"/>
            <w:vAlign w:val="top"/>
          </w:tcPr>
          <w:p>
            <w:pPr>
              <w:pStyle w:val="18"/>
              <w:spacing w:before="79"/>
              <w:ind w:left="330"/>
              <w:rPr>
                <w:b/>
                <w:sz w:val="21"/>
              </w:rPr>
            </w:pPr>
            <w:r>
              <w:rPr>
                <w:b/>
                <w:sz w:val="21"/>
              </w:rPr>
              <w:t>普通话等级证</w:t>
            </w:r>
          </w:p>
        </w:tc>
        <w:tc>
          <w:tcPr>
            <w:tcW w:w="2722" w:type="dxa"/>
            <w:noWrap w:val="0"/>
            <w:vAlign w:val="top"/>
          </w:tcPr>
          <w:p>
            <w:pPr>
              <w:pStyle w:val="18"/>
              <w:spacing w:before="79"/>
              <w:ind w:left="524"/>
              <w:rPr>
                <w:sz w:val="21"/>
              </w:rPr>
            </w:pPr>
            <w:r>
              <w:rPr>
                <w:sz w:val="21"/>
              </w:rPr>
              <w:t>可指定二甲或二乙</w:t>
            </w:r>
          </w:p>
        </w:tc>
        <w:tc>
          <w:tcPr>
            <w:tcW w:w="1928" w:type="dxa"/>
            <w:noWrap w:val="0"/>
            <w:vAlign w:val="top"/>
          </w:tcPr>
          <w:p>
            <w:pPr>
              <w:pStyle w:val="18"/>
              <w:spacing w:before="79"/>
              <w:ind w:right="646" w:firstLine="420" w:firstLineChars="200"/>
              <w:jc w:val="both"/>
              <w:rPr>
                <w:sz w:val="21"/>
              </w:rPr>
            </w:pPr>
            <w:r>
              <w:rPr>
                <w:rFonts w:ascii="Calibri" w:eastAsia="Calibri"/>
                <w:sz w:val="21"/>
              </w:rPr>
              <w:t xml:space="preserve">3 </w:t>
            </w:r>
            <w:r>
              <w:rPr>
                <w:sz w:val="21"/>
              </w:rPr>
              <w:t>个月</w:t>
            </w:r>
          </w:p>
        </w:tc>
        <w:tc>
          <w:tcPr>
            <w:tcW w:w="3542" w:type="dxa"/>
            <w:noWrap w:val="0"/>
            <w:vAlign w:val="top"/>
          </w:tcPr>
          <w:p>
            <w:pPr>
              <w:pStyle w:val="18"/>
              <w:spacing w:before="79"/>
              <w:ind w:left="566"/>
              <w:rPr>
                <w:sz w:val="21"/>
              </w:rPr>
            </w:pPr>
            <w:r>
              <w:rPr>
                <w:sz w:val="21"/>
              </w:rPr>
              <w:t xml:space="preserve">年龄 </w:t>
            </w:r>
            <w:r>
              <w:rPr>
                <w:rFonts w:ascii="Calibri" w:eastAsia="Calibri"/>
                <w:sz w:val="21"/>
              </w:rPr>
              <w:t xml:space="preserve">1995 </w:t>
            </w:r>
            <w:r>
              <w:rPr>
                <w:sz w:val="21"/>
              </w:rPr>
              <w:t>年后，畅言网查</w:t>
            </w:r>
          </w:p>
        </w:tc>
      </w:tr>
    </w:tbl>
    <w:p>
      <w:pPr>
        <w:pStyle w:val="6"/>
        <w:keepNext w:val="0"/>
        <w:keepLines w:val="0"/>
        <w:pageBreakBefore w:val="0"/>
        <w:widowControl/>
        <w:numPr>
          <w:ilvl w:val="0"/>
          <w:numId w:val="0"/>
        </w:numPr>
        <w:kinsoku/>
        <w:wordWrap/>
        <w:overflowPunct/>
        <w:topLinePunct w:val="0"/>
        <w:autoSpaceDE/>
        <w:autoSpaceDN/>
        <w:bidi w:val="0"/>
        <w:adjustRightInd/>
        <w:snapToGrid/>
        <w:spacing w:line="20" w:lineRule="exact"/>
        <w:textAlignment w:val="auto"/>
        <w:rPr>
          <w:rFonts w:hint="eastAsia" w:eastAsia="宋体"/>
          <w:sz w:val="21"/>
          <w:szCs w:val="21"/>
          <w:lang w:eastAsia="zh-CN"/>
        </w:rPr>
      </w:pPr>
      <w:bookmarkStart w:id="0" w:name="_GoBack"/>
      <w:bookmarkEnd w:id="0"/>
    </w:p>
    <w:sectPr>
      <w:headerReference r:id="rId3" w:type="default"/>
      <w:footerReference r:id="rId4" w:type="default"/>
      <w:pgSz w:w="11906" w:h="16838"/>
      <w:pgMar w:top="720" w:right="720" w:bottom="720" w:left="720" w:header="851" w:footer="992" w:gutter="0"/>
      <w:pgNumType w:fmt="decimal" w:start="1"/>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楷体简体">
    <w:altName w:val="微软雅黑"/>
    <w:panose1 w:val="00000000000000000000"/>
    <w:charset w:val="86"/>
    <w:family w:val="script"/>
    <w:pitch w:val="default"/>
    <w:sig w:usb0="00000000" w:usb1="00000000" w:usb2="00000000" w:usb3="00000000" w:csb0="00040000" w:csb1="00000000"/>
  </w:font>
  <w:font w:name="方正书宋简体">
    <w:altName w:val="微软雅黑"/>
    <w:panose1 w:val="00000000000000000000"/>
    <w:charset w:val="86"/>
    <w:family w:val="script"/>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正大黑简体">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spacing w:line="200" w:lineRule="exact"/>
      <w:ind w:right="0" w:rightChars="0"/>
      <w:jc w:val="both"/>
      <w:textAlignment w:val="auto"/>
      <w:outlineLvl w:val="9"/>
      <w:rPr>
        <w:rFonts w:hint="eastAsia" w:ascii="宋体" w:hAnsi="宋体" w:cs="宋体"/>
        <w:b/>
        <w:bCs/>
        <w:color w:val="0000FF"/>
        <w:sz w:val="15"/>
        <w:szCs w:val="15"/>
        <w:lang w:val="en-US" w:eastAsia="zh-CN"/>
      </w:rPr>
    </w:pPr>
    <w:r>
      <w:rPr>
        <w:rFonts w:hint="eastAsia" w:ascii="宋体" w:hAnsi="宋体" w:eastAsia="宋体" w:cs="宋体"/>
        <w:b/>
        <w:bCs/>
        <w:color w:val="0000FF"/>
        <w:sz w:val="15"/>
        <w:szCs w:val="15"/>
        <w:lang w:val="en-US" w:eastAsia="zh-CN"/>
      </w:rPr>
      <w:t>陕西总校：西安市</w:t>
    </w:r>
    <w:r>
      <w:rPr>
        <w:rFonts w:hint="eastAsia" w:ascii="宋体" w:hAnsi="宋体" w:cs="宋体"/>
        <w:b/>
        <w:bCs/>
        <w:color w:val="0000FF"/>
        <w:sz w:val="15"/>
        <w:szCs w:val="15"/>
        <w:lang w:val="en-US" w:eastAsia="zh-CN"/>
      </w:rPr>
      <w:t>未央区</w:t>
    </w:r>
    <w:r>
      <w:rPr>
        <w:rFonts w:hint="eastAsia" w:ascii="宋体" w:hAnsi="宋体" w:eastAsia="宋体" w:cs="宋体"/>
        <w:b/>
        <w:bCs/>
        <w:color w:val="0000FF"/>
        <w:sz w:val="15"/>
        <w:szCs w:val="15"/>
        <w:lang w:val="en-US" w:eastAsia="zh-CN"/>
      </w:rPr>
      <w:t>后卫寨启航时代广场B座</w:t>
    </w:r>
    <w:r>
      <w:rPr>
        <w:rFonts w:hint="eastAsia" w:ascii="宋体" w:hAnsi="宋体" w:cs="宋体"/>
        <w:b/>
        <w:bCs/>
        <w:color w:val="0000FF"/>
        <w:sz w:val="15"/>
        <w:szCs w:val="15"/>
        <w:lang w:val="en-US" w:eastAsia="zh-CN"/>
      </w:rPr>
      <w:t>2203室</w:t>
    </w:r>
    <w:r>
      <w:rPr>
        <w:rFonts w:hint="eastAsia" w:ascii="宋体" w:hAnsi="宋体" w:eastAsia="宋体" w:cs="宋体"/>
        <w:b/>
        <w:bCs/>
        <w:color w:val="0000FF"/>
        <w:sz w:val="15"/>
        <w:szCs w:val="15"/>
        <w:lang w:val="en-US" w:eastAsia="zh-CN"/>
      </w:rPr>
      <w:t xml:space="preserve">   </w:t>
    </w:r>
    <w:r>
      <w:rPr>
        <w:rFonts w:hint="eastAsia" w:ascii="宋体" w:hAnsi="宋体" w:cs="宋体"/>
        <w:b/>
        <w:bCs/>
        <w:color w:val="0000FF"/>
        <w:sz w:val="15"/>
        <w:szCs w:val="15"/>
        <w:lang w:val="en-US" w:eastAsia="zh-CN"/>
      </w:rPr>
      <w:t xml:space="preserve">           </w:t>
    </w:r>
    <w:r>
      <w:rPr>
        <w:rFonts w:hint="eastAsia" w:ascii="宋体" w:hAnsi="宋体" w:eastAsia="宋体" w:cs="宋体"/>
        <w:b/>
        <w:bCs/>
        <w:color w:val="0000FF"/>
        <w:sz w:val="15"/>
        <w:szCs w:val="15"/>
        <w:lang w:val="en-US" w:eastAsia="zh-CN"/>
      </w:rPr>
      <w:t>宝鸡分校：金台区东岭集团国金中心1818</w:t>
    </w:r>
    <w:r>
      <w:rPr>
        <w:rFonts w:hint="eastAsia" w:ascii="宋体" w:hAnsi="宋体" w:cs="宋体"/>
        <w:b/>
        <w:bCs/>
        <w:color w:val="0000FF"/>
        <w:sz w:val="15"/>
        <w:szCs w:val="15"/>
        <w:lang w:val="en-US" w:eastAsia="zh-CN"/>
      </w:rPr>
      <w:t>-1819</w:t>
    </w:r>
    <w:r>
      <w:rPr>
        <w:rFonts w:hint="eastAsia" w:ascii="宋体" w:hAnsi="宋体" w:eastAsia="宋体" w:cs="宋体"/>
        <w:b/>
        <w:bCs/>
        <w:color w:val="0000FF"/>
        <w:sz w:val="15"/>
        <w:szCs w:val="15"/>
        <w:lang w:val="en-US" w:eastAsia="zh-CN"/>
      </w:rPr>
      <w:t xml:space="preserve">室 </w:t>
    </w:r>
    <w:r>
      <w:rPr>
        <w:rFonts w:hint="eastAsia" w:ascii="宋体" w:hAnsi="宋体" w:cs="宋体"/>
        <w:b/>
        <w:bCs/>
        <w:color w:val="0000FF"/>
        <w:sz w:val="15"/>
        <w:szCs w:val="15"/>
        <w:lang w:val="en-US" w:eastAsia="zh-CN"/>
      </w:rPr>
      <w:t xml:space="preserve">                  </w:t>
    </w:r>
  </w:p>
  <w:p>
    <w:pPr>
      <w:pStyle w:val="4"/>
      <w:keepNext w:val="0"/>
      <w:keepLines w:val="0"/>
      <w:pageBreakBefore w:val="0"/>
      <w:widowControl w:val="0"/>
      <w:kinsoku/>
      <w:wordWrap/>
      <w:overflowPunct/>
      <w:topLinePunct w:val="0"/>
      <w:autoSpaceDE/>
      <w:autoSpaceDN/>
      <w:bidi w:val="0"/>
      <w:adjustRightInd/>
      <w:snapToGrid w:val="0"/>
      <w:spacing w:line="200" w:lineRule="exact"/>
      <w:ind w:right="0" w:rightChars="0"/>
      <w:jc w:val="both"/>
      <w:textAlignment w:val="auto"/>
      <w:outlineLvl w:val="9"/>
      <w:rPr>
        <w:rFonts w:hint="eastAsia" w:ascii="宋体" w:hAnsi="宋体" w:eastAsia="宋体" w:cs="宋体"/>
        <w:b/>
        <w:bCs/>
        <w:color w:val="0000FF"/>
        <w:sz w:val="15"/>
        <w:szCs w:val="15"/>
        <w:lang w:val="en-US" w:eastAsia="zh-CN"/>
      </w:rPr>
    </w:pPr>
    <w:r>
      <w:rPr>
        <w:rFonts w:hint="eastAsia" w:ascii="宋体" w:hAnsi="宋体" w:eastAsia="宋体" w:cs="宋体"/>
        <w:b/>
        <w:bCs/>
        <w:color w:val="0000FF"/>
        <w:sz w:val="15"/>
        <w:szCs w:val="15"/>
        <w:lang w:val="en-US" w:eastAsia="zh-CN"/>
      </w:rPr>
      <w:t>汉中分校：汉台区</w:t>
    </w:r>
    <w:r>
      <w:rPr>
        <w:rFonts w:hint="eastAsia" w:ascii="宋体" w:hAnsi="宋体" w:cs="宋体"/>
        <w:b/>
        <w:bCs/>
        <w:color w:val="0000FF"/>
        <w:sz w:val="15"/>
        <w:szCs w:val="15"/>
        <w:lang w:val="en-US" w:eastAsia="zh-CN"/>
      </w:rPr>
      <w:t>天玺中心1112室</w:t>
    </w:r>
    <w:r>
      <w:rPr>
        <w:rFonts w:hint="eastAsia" w:ascii="宋体" w:hAnsi="宋体" w:eastAsia="宋体" w:cs="宋体"/>
        <w:b/>
        <w:bCs/>
        <w:color w:val="0000FF"/>
        <w:sz w:val="15"/>
        <w:szCs w:val="15"/>
        <w:lang w:val="en-US" w:eastAsia="zh-CN"/>
      </w:rPr>
      <w:t xml:space="preserve">             </w:t>
    </w:r>
    <w:r>
      <w:rPr>
        <w:rFonts w:hint="eastAsia" w:ascii="宋体" w:hAnsi="宋体" w:cs="宋体"/>
        <w:b/>
        <w:bCs/>
        <w:color w:val="0000FF"/>
        <w:sz w:val="15"/>
        <w:szCs w:val="15"/>
        <w:lang w:val="en-US" w:eastAsia="zh-CN"/>
      </w:rPr>
      <w:t xml:space="preserve">                     </w:t>
    </w:r>
    <w:r>
      <w:rPr>
        <w:rFonts w:hint="eastAsia" w:ascii="宋体" w:hAnsi="宋体" w:eastAsia="宋体" w:cs="宋体"/>
        <w:b/>
        <w:bCs/>
        <w:color w:val="0000FF"/>
        <w:sz w:val="15"/>
        <w:szCs w:val="15"/>
        <w:lang w:val="en-US" w:eastAsia="zh-CN"/>
      </w:rPr>
      <w:t>安康分校：高新区钻石中路钻石壹号2309室</w:t>
    </w:r>
  </w:p>
  <w:p>
    <w:pPr>
      <w:pStyle w:val="4"/>
      <w:keepNext w:val="0"/>
      <w:keepLines w:val="0"/>
      <w:pageBreakBefore w:val="0"/>
      <w:widowControl w:val="0"/>
      <w:kinsoku/>
      <w:wordWrap/>
      <w:overflowPunct/>
      <w:topLinePunct w:val="0"/>
      <w:autoSpaceDE/>
      <w:autoSpaceDN/>
      <w:bidi w:val="0"/>
      <w:adjustRightInd/>
      <w:snapToGrid w:val="0"/>
      <w:spacing w:line="200" w:lineRule="exact"/>
      <w:ind w:right="0" w:rightChars="0"/>
      <w:jc w:val="both"/>
      <w:textAlignment w:val="auto"/>
      <w:outlineLvl w:val="9"/>
      <w:rPr>
        <w:rFonts w:hint="eastAsia" w:ascii="宋体" w:hAnsi="宋体" w:cs="宋体"/>
        <w:b/>
        <w:bCs/>
        <w:color w:val="0000FF"/>
        <w:sz w:val="13"/>
        <w:szCs w:val="13"/>
        <w:lang w:val="en-US" w:eastAsia="zh-CN"/>
      </w:rPr>
    </w:pPr>
    <w:r>
      <w:rPr>
        <w:rFonts w:hint="eastAsia" w:ascii="宋体" w:hAnsi="宋体" w:eastAsia="宋体" w:cs="宋体"/>
        <w:b/>
        <w:bCs/>
        <w:i w:val="0"/>
        <w:caps w:val="0"/>
        <w:color w:val="0000FF"/>
        <w:spacing w:val="0"/>
        <w:sz w:val="15"/>
        <w:szCs w:val="15"/>
        <w:lang w:val="en-US" w:eastAsia="zh-CN"/>
      </w:rPr>
      <w:t xml:space="preserve">商洛分校：商州区金源二路中段东六楼    </w:t>
    </w:r>
    <w:r>
      <w:rPr>
        <w:rFonts w:hint="eastAsia" w:ascii="宋体" w:hAnsi="宋体" w:eastAsia="宋体" w:cs="宋体"/>
        <w:color w:val="0000FF"/>
        <w:sz w:val="15"/>
        <w:szCs w:val="15"/>
      </w:rPr>
      <mc:AlternateContent>
        <mc:Choice Requires="wps">
          <w:drawing>
            <wp:anchor distT="0" distB="0" distL="114300" distR="114300" simplePos="0" relativeHeight="251662336" behindDoc="0" locked="0" layoutInCell="1" allowOverlap="1">
              <wp:simplePos x="0" y="0"/>
              <wp:positionH relativeFrom="margin">
                <wp:posOffset>2753360</wp:posOffset>
              </wp:positionH>
              <wp:positionV relativeFrom="paragraph">
                <wp:posOffset>19050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16.8pt;margin-top:1.5pt;height:144pt;width:144pt;mso-position-horizontal-relative:margin;mso-wrap-style:none;z-index:251662336;mso-width-relative:page;mso-height-relative:page;" filled="f" stroked="f" coordsize="21600,21600" o:gfxdata="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BCt9gv1gAAAAkBAAAP&#10;AAAAAAAAAAEAIAAAACIAAABkcnMvZG93bnJldi54bWxQSwECFAAUAAAACACHTuJAT9y5nBoCAAAj&#10;BAAADgAAAAAAAAABACAAAAAlAQAAZHJzL2Uyb0RvYy54bWxQSwUGAAAAAAYABgBZAQAAsQU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rFonts w:hint="eastAsia" w:ascii="宋体" w:hAnsi="宋体" w:eastAsia="宋体" w:cs="宋体"/>
        <w:b/>
        <w:bCs/>
        <w:i w:val="0"/>
        <w:caps w:val="0"/>
        <w:color w:val="0000FF"/>
        <w:spacing w:val="0"/>
        <w:sz w:val="15"/>
        <w:szCs w:val="15"/>
        <w:lang w:val="en-US" w:eastAsia="zh-CN"/>
      </w:rPr>
      <w:t xml:space="preserve">        </w:t>
    </w:r>
    <w:r>
      <w:rPr>
        <w:rFonts w:hint="eastAsia" w:ascii="宋体" w:hAnsi="宋体" w:cs="宋体"/>
        <w:b/>
        <w:bCs/>
        <w:i w:val="0"/>
        <w:caps w:val="0"/>
        <w:color w:val="0000FF"/>
        <w:spacing w:val="0"/>
        <w:sz w:val="15"/>
        <w:szCs w:val="15"/>
        <w:lang w:val="en-US" w:eastAsia="zh-CN"/>
      </w:rPr>
      <w:t xml:space="preserve">                   </w:t>
    </w:r>
    <w:r>
      <w:rPr>
        <w:rFonts w:hint="eastAsia" w:ascii="宋体" w:hAnsi="宋体" w:eastAsia="宋体" w:cs="宋体"/>
        <w:b/>
        <w:bCs/>
        <w:color w:val="0000FF"/>
        <w:kern w:val="2"/>
        <w:sz w:val="15"/>
        <w:szCs w:val="15"/>
        <w:lang w:val="en-US" w:eastAsia="zh-CN" w:bidi="ar-SA"/>
      </w:rPr>
      <w:t>渭南分校：临渭区新洲时代广场C座503室</w:t>
    </w:r>
    <w:r>
      <w:rPr>
        <w:rFonts w:hint="eastAsia" w:ascii="宋体" w:hAnsi="宋体" w:eastAsia="宋体" w:cs="宋体"/>
        <w:b/>
        <w:bCs/>
        <w:color w:val="0000FF"/>
        <w:sz w:val="15"/>
        <w:szCs w:val="15"/>
        <w:lang w:val="en-US" w:eastAsia="zh-CN"/>
      </w:rPr>
      <w:t xml:space="preserve">     </w:t>
    </w:r>
    <w:r>
      <w:rPr>
        <w:rFonts w:hint="eastAsia" w:ascii="宋体" w:hAnsi="宋体" w:eastAsia="宋体" w:cs="宋体"/>
        <w:b/>
        <w:bCs/>
        <w:color w:val="0000FF"/>
        <w:sz w:val="13"/>
        <w:szCs w:val="13"/>
        <w:lang w:val="en-US" w:eastAsia="zh-CN"/>
      </w:rPr>
      <w:t xml:space="preserve">       </w:t>
    </w:r>
    <w:r>
      <w:rPr>
        <w:rFonts w:hint="eastAsia" w:ascii="宋体" w:hAnsi="宋体" w:cs="宋体"/>
        <w:b/>
        <w:bCs/>
        <w:color w:val="0000FF"/>
        <w:sz w:val="13"/>
        <w:szCs w:val="13"/>
        <w:lang w:val="en-US" w:eastAsia="zh-CN"/>
      </w:rPr>
      <w:t xml:space="preserve">         </w:t>
    </w:r>
  </w:p>
  <w:p>
    <w:pPr>
      <w:pStyle w:val="4"/>
      <w:keepNext w:val="0"/>
      <w:keepLines w:val="0"/>
      <w:pageBreakBefore w:val="0"/>
      <w:widowControl w:val="0"/>
      <w:kinsoku/>
      <w:wordWrap/>
      <w:overflowPunct/>
      <w:topLinePunct w:val="0"/>
      <w:autoSpaceDE/>
      <w:autoSpaceDN/>
      <w:bidi w:val="0"/>
      <w:adjustRightInd/>
      <w:snapToGrid w:val="0"/>
      <w:spacing w:line="200" w:lineRule="exact"/>
      <w:ind w:right="0" w:rightChars="0"/>
      <w:jc w:val="both"/>
      <w:textAlignment w:val="auto"/>
      <w:outlineLvl w:val="9"/>
      <w:rPr>
        <w:rFonts w:hint="eastAsia" w:ascii="宋体" w:hAnsi="宋体" w:eastAsia="宋体" w:cs="宋体"/>
        <w:color w:val="auto"/>
        <w:sz w:val="15"/>
        <w:szCs w:val="15"/>
        <w:lang w:val="en-US" w:eastAsia="zh-CN"/>
      </w:rPr>
    </w:pPr>
    <w:r>
      <w:rPr>
        <w:rFonts w:hint="eastAsia" w:ascii="宋体" w:hAnsi="宋体" w:cs="宋体"/>
        <w:b/>
        <w:bCs/>
        <w:i w:val="0"/>
        <w:caps w:val="0"/>
        <w:color w:val="0000FF"/>
        <w:spacing w:val="0"/>
        <w:sz w:val="15"/>
        <w:szCs w:val="15"/>
        <w:lang w:val="en-US" w:eastAsia="zh-CN"/>
      </w:rPr>
      <w:t xml:space="preserve">延安分校：宝塔区中心街美林广场A座809室                         </w:t>
    </w:r>
    <w:r>
      <w:rPr>
        <w:rFonts w:hint="eastAsia" w:ascii="宋体" w:hAnsi="宋体" w:eastAsia="宋体" w:cs="宋体"/>
        <w:b/>
        <w:bCs/>
        <w:i w:val="0"/>
        <w:caps w:val="0"/>
        <w:color w:val="0000FF"/>
        <w:spacing w:val="0"/>
        <w:sz w:val="15"/>
        <w:szCs w:val="15"/>
        <w:lang w:eastAsia="zh-CN"/>
      </w:rPr>
      <w:t>榆林分校：榆阳区航宇路市建委对面三楼</w:t>
    </w:r>
    <w:r>
      <w:rPr>
        <w:rFonts w:hint="eastAsia" w:ascii="宋体" w:hAnsi="宋体" w:eastAsia="宋体" w:cs="宋体"/>
        <w:b/>
        <w:bCs/>
        <w:i w:val="0"/>
        <w:caps w:val="0"/>
        <w:color w:val="0000FF"/>
        <w:spacing w:val="0"/>
        <w:sz w:val="15"/>
        <w:szCs w:val="15"/>
        <w:lang w:val="en-US" w:eastAsia="zh-CN"/>
      </w:rPr>
      <w:t xml:space="preserve">  </w:t>
    </w:r>
    <w:r>
      <w:rPr>
        <w:rFonts w:hint="eastAsia" w:ascii="宋体" w:hAnsi="宋体" w:cs="宋体"/>
        <w:b/>
        <w:bCs/>
        <w:color w:val="auto"/>
        <w:kern w:val="2"/>
        <w:sz w:val="15"/>
        <w:szCs w:val="15"/>
        <w:lang w:val="en-US" w:eastAsia="zh-CN" w:bidi="ar-SA"/>
      </w:rPr>
      <w:t xml:space="preserve">      </w:t>
    </w:r>
  </w:p>
  <w:p>
    <w:pPr>
      <w:pStyle w:val="4"/>
      <w:keepNext w:val="0"/>
      <w:keepLines w:val="0"/>
      <w:pageBreakBefore w:val="0"/>
      <w:widowControl w:val="0"/>
      <w:kinsoku/>
      <w:wordWrap/>
      <w:overflowPunct/>
      <w:topLinePunct w:val="0"/>
      <w:autoSpaceDE/>
      <w:autoSpaceDN/>
      <w:bidi w:val="0"/>
      <w:adjustRightInd/>
      <w:snapToGrid w:val="0"/>
      <w:spacing w:line="200" w:lineRule="exact"/>
      <w:ind w:right="0" w:rightChars="0"/>
      <w:jc w:val="both"/>
      <w:textAlignment w:val="auto"/>
      <w:outlineLvl w:val="9"/>
      <w:rPr>
        <w:rFonts w:hint="eastAsia" w:ascii="宋体" w:hAnsi="宋体" w:eastAsia="宋体" w:cs="宋体"/>
        <w:color w:val="auto"/>
        <w:sz w:val="15"/>
        <w:szCs w:val="15"/>
        <w:lang w:val="en-US" w:eastAsia="zh-CN"/>
      </w:rPr>
    </w:pPr>
    <w:r>
      <w:rPr>
        <w:rFonts w:hint="eastAsia" w:ascii="宋体" w:hAnsi="宋体" w:cs="宋体"/>
        <w:b/>
        <w:bCs/>
        <w:color w:val="auto"/>
        <w:kern w:val="2"/>
        <w:sz w:val="15"/>
        <w:szCs w:val="15"/>
        <w:lang w:val="en-US" w:eastAsia="zh-CN" w:bidi="ar-SA"/>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both"/>
      <w:rPr>
        <w:rFonts w:hint="eastAsia"/>
        <w:lang w:val="en-US" w:eastAsia="zh-CN"/>
      </w:rPr>
    </w:pPr>
    <w:r>
      <w:drawing>
        <wp:anchor distT="0" distB="0" distL="114300" distR="114300" simplePos="0" relativeHeight="251660288" behindDoc="0" locked="0" layoutInCell="1" allowOverlap="1">
          <wp:simplePos x="0" y="0"/>
          <wp:positionH relativeFrom="column">
            <wp:posOffset>700405</wp:posOffset>
          </wp:positionH>
          <wp:positionV relativeFrom="paragraph">
            <wp:posOffset>36195</wp:posOffset>
          </wp:positionV>
          <wp:extent cx="1120140" cy="229870"/>
          <wp:effectExtent l="0" t="0" r="3810" b="17780"/>
          <wp:wrapNone/>
          <wp:docPr id="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pic:cNvPicPr>
                    <a:picLocks noChangeAspect="1"/>
                  </pic:cNvPicPr>
                </pic:nvPicPr>
                <pic:blipFill>
                  <a:blip r:embed="rId1"/>
                  <a:srcRect t="81915"/>
                  <a:stretch>
                    <a:fillRect/>
                  </a:stretch>
                </pic:blipFill>
                <pic:spPr>
                  <a:xfrm>
                    <a:off x="0" y="0"/>
                    <a:ext cx="1120140" cy="229870"/>
                  </a:xfrm>
                  <a:prstGeom prst="rect">
                    <a:avLst/>
                  </a:prstGeom>
                  <a:noFill/>
                  <a:ln>
                    <a:noFill/>
                  </a:ln>
                </pic:spPr>
              </pic:pic>
            </a:graphicData>
          </a:graphic>
        </wp:anchor>
      </w:drawing>
    </w:r>
    <w:r>
      <w:drawing>
        <wp:anchor distT="0" distB="0" distL="114300" distR="114300" simplePos="0" relativeHeight="251659264" behindDoc="0" locked="0" layoutInCell="1" allowOverlap="1">
          <wp:simplePos x="0" y="0"/>
          <wp:positionH relativeFrom="column">
            <wp:posOffset>183515</wp:posOffset>
          </wp:positionH>
          <wp:positionV relativeFrom="paragraph">
            <wp:posOffset>-54610</wp:posOffset>
          </wp:positionV>
          <wp:extent cx="414655" cy="393065"/>
          <wp:effectExtent l="0" t="0" r="4445" b="6985"/>
          <wp:wrapNone/>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pic:cNvPicPr>
                    <a:picLocks noChangeAspect="1"/>
                  </pic:cNvPicPr>
                </pic:nvPicPr>
                <pic:blipFill>
                  <a:blip r:embed="rId1"/>
                  <a:srcRect b="16464"/>
                  <a:stretch>
                    <a:fillRect/>
                  </a:stretch>
                </pic:blipFill>
                <pic:spPr>
                  <a:xfrm>
                    <a:off x="0" y="0"/>
                    <a:ext cx="414655" cy="393065"/>
                  </a:xfrm>
                  <a:prstGeom prst="rect">
                    <a:avLst/>
                  </a:prstGeom>
                  <a:noFill/>
                  <a:ln>
                    <a:noFill/>
                  </a:ln>
                </pic:spPr>
              </pic:pic>
            </a:graphicData>
          </a:graphic>
        </wp:anchor>
      </w:drawing>
    </w:r>
    <w:r>
      <w:rPr>
        <w:rFonts w:hint="eastAsia"/>
        <w:lang w:val="en-US" w:eastAsia="zh-CN"/>
      </w:rPr>
      <w:t xml:space="preserve">                                              </w:t>
    </w:r>
  </w:p>
  <w:p>
    <w:pPr>
      <w:pStyle w:val="5"/>
      <w:jc w:val="right"/>
      <w:rPr>
        <w:rFonts w:hint="eastAsia" w:eastAsia="宋体"/>
        <w:b/>
        <w:bCs/>
        <w:lang w:val="en-US" w:eastAsia="zh-CN"/>
      </w:rPr>
    </w:pPr>
    <w:r>
      <w:rPr>
        <w:sz w:val="18"/>
      </w:rPr>
      <w:pict>
        <v:shape id="PowerPlusWaterMarkObject58618" o:spid="_x0000_s2051" o:spt="136" type="#_x0000_t136" style="position:absolute;left:0pt;height:124.2pt;width:564.85pt;mso-position-horizontal:center;mso-position-horizontal-relative:margin;mso-position-vertical:center;mso-position-vertical-relative:margin;rotation:-2949120f;z-index:-251658240;mso-width-relative:page;mso-height-relative:page;" fillcolor="#C0C0C0" filled="t" stroked="f" coordsize="21600,21600" adj="10800">
          <v:path/>
          <v:fill on="t" opacity="26214f" focussize="0,0"/>
          <v:stroke on="f"/>
          <v:imagedata o:title=""/>
          <o:lock v:ext="edit" aspectratio="t"/>
          <v:textpath on="t" fitshape="t" fitpath="t" trim="t" xscale="f" string="百典教育集团" style="font-family:微软雅黑;font-size:36pt;v-same-letter-heights:f;v-text-align:center;"/>
        </v:shape>
      </w:pict>
    </w:r>
    <w:r>
      <w:rPr>
        <w:rFonts w:hint="eastAsia" w:ascii="方正正大黑简体" w:hAnsi="方正正大黑简体" w:eastAsia="方正正大黑简体" w:cs="方正正大黑简体"/>
        <w:b/>
        <w:bCs/>
        <w:lang w:val="en-US" w:eastAsia="zh-CN"/>
      </w:rPr>
      <w:t>国内首家共享式建筑考辅教育机构   www.baidianjituan.com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5AAEE5F"/>
    <w:multiLevelType w:val="singleLevel"/>
    <w:tmpl w:val="D5AAEE5F"/>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C02372"/>
    <w:rsid w:val="00237FBB"/>
    <w:rsid w:val="002F664A"/>
    <w:rsid w:val="004A7E73"/>
    <w:rsid w:val="005A026F"/>
    <w:rsid w:val="00626555"/>
    <w:rsid w:val="006A5B0C"/>
    <w:rsid w:val="006E4B52"/>
    <w:rsid w:val="00713A1F"/>
    <w:rsid w:val="0083106D"/>
    <w:rsid w:val="00841629"/>
    <w:rsid w:val="008948AB"/>
    <w:rsid w:val="009A5D5D"/>
    <w:rsid w:val="00A369EF"/>
    <w:rsid w:val="00A52F91"/>
    <w:rsid w:val="00A563D6"/>
    <w:rsid w:val="00A93A2C"/>
    <w:rsid w:val="00B10F6D"/>
    <w:rsid w:val="00B52559"/>
    <w:rsid w:val="00B743AC"/>
    <w:rsid w:val="00B91923"/>
    <w:rsid w:val="00C2796D"/>
    <w:rsid w:val="00C66D4B"/>
    <w:rsid w:val="00D60E50"/>
    <w:rsid w:val="00D90E55"/>
    <w:rsid w:val="00DC632D"/>
    <w:rsid w:val="00DF25CC"/>
    <w:rsid w:val="00E019CC"/>
    <w:rsid w:val="00E96089"/>
    <w:rsid w:val="00FD3C2D"/>
    <w:rsid w:val="010D5486"/>
    <w:rsid w:val="012362BD"/>
    <w:rsid w:val="012633A2"/>
    <w:rsid w:val="01272BA2"/>
    <w:rsid w:val="012D3424"/>
    <w:rsid w:val="01303BF5"/>
    <w:rsid w:val="013258B2"/>
    <w:rsid w:val="0132750E"/>
    <w:rsid w:val="013612A3"/>
    <w:rsid w:val="01365E1D"/>
    <w:rsid w:val="013B19FD"/>
    <w:rsid w:val="013D15F0"/>
    <w:rsid w:val="013E57EE"/>
    <w:rsid w:val="01440AA5"/>
    <w:rsid w:val="01475C9A"/>
    <w:rsid w:val="01551E91"/>
    <w:rsid w:val="01577329"/>
    <w:rsid w:val="015A50DD"/>
    <w:rsid w:val="015A532D"/>
    <w:rsid w:val="016712D4"/>
    <w:rsid w:val="016A16C8"/>
    <w:rsid w:val="016C7A38"/>
    <w:rsid w:val="01717FFF"/>
    <w:rsid w:val="017A0D6A"/>
    <w:rsid w:val="017C5331"/>
    <w:rsid w:val="0184776F"/>
    <w:rsid w:val="0185448E"/>
    <w:rsid w:val="01855E03"/>
    <w:rsid w:val="018A3D8E"/>
    <w:rsid w:val="019F4E3F"/>
    <w:rsid w:val="01A55A8E"/>
    <w:rsid w:val="01A62959"/>
    <w:rsid w:val="01A63547"/>
    <w:rsid w:val="01A82F0D"/>
    <w:rsid w:val="01AC7C32"/>
    <w:rsid w:val="01B55939"/>
    <w:rsid w:val="01C16C18"/>
    <w:rsid w:val="01C35161"/>
    <w:rsid w:val="01C9646F"/>
    <w:rsid w:val="01CB7285"/>
    <w:rsid w:val="01D44EE2"/>
    <w:rsid w:val="01D95B47"/>
    <w:rsid w:val="01E62499"/>
    <w:rsid w:val="01E635D1"/>
    <w:rsid w:val="01F25FEC"/>
    <w:rsid w:val="01F76990"/>
    <w:rsid w:val="01F879BD"/>
    <w:rsid w:val="023F782E"/>
    <w:rsid w:val="02407FF7"/>
    <w:rsid w:val="024656C5"/>
    <w:rsid w:val="025625B8"/>
    <w:rsid w:val="026222D1"/>
    <w:rsid w:val="026462AA"/>
    <w:rsid w:val="026518B0"/>
    <w:rsid w:val="026B07B1"/>
    <w:rsid w:val="027F5FAB"/>
    <w:rsid w:val="028035E4"/>
    <w:rsid w:val="02952EEF"/>
    <w:rsid w:val="02AB72FF"/>
    <w:rsid w:val="02AC5099"/>
    <w:rsid w:val="02C30701"/>
    <w:rsid w:val="02CE5445"/>
    <w:rsid w:val="02D75060"/>
    <w:rsid w:val="02F03E49"/>
    <w:rsid w:val="02FF0B6C"/>
    <w:rsid w:val="030E2B2F"/>
    <w:rsid w:val="030F6834"/>
    <w:rsid w:val="03102482"/>
    <w:rsid w:val="031E0837"/>
    <w:rsid w:val="031F08FC"/>
    <w:rsid w:val="03240925"/>
    <w:rsid w:val="03245C0D"/>
    <w:rsid w:val="032F5637"/>
    <w:rsid w:val="03305759"/>
    <w:rsid w:val="03306D9D"/>
    <w:rsid w:val="03375701"/>
    <w:rsid w:val="03413CC2"/>
    <w:rsid w:val="03483029"/>
    <w:rsid w:val="034A6312"/>
    <w:rsid w:val="034B6BEC"/>
    <w:rsid w:val="0362641B"/>
    <w:rsid w:val="03674428"/>
    <w:rsid w:val="036A6CCB"/>
    <w:rsid w:val="037408D7"/>
    <w:rsid w:val="037F76AB"/>
    <w:rsid w:val="03967A53"/>
    <w:rsid w:val="039E6644"/>
    <w:rsid w:val="03A046E6"/>
    <w:rsid w:val="03A21A68"/>
    <w:rsid w:val="03A30D78"/>
    <w:rsid w:val="03BE5AFE"/>
    <w:rsid w:val="03BF054D"/>
    <w:rsid w:val="03D71D77"/>
    <w:rsid w:val="03D91D7B"/>
    <w:rsid w:val="03DA32A2"/>
    <w:rsid w:val="03E7542A"/>
    <w:rsid w:val="03F03A9F"/>
    <w:rsid w:val="03F23A15"/>
    <w:rsid w:val="04085607"/>
    <w:rsid w:val="040B30B7"/>
    <w:rsid w:val="041227BE"/>
    <w:rsid w:val="04143399"/>
    <w:rsid w:val="04155FFA"/>
    <w:rsid w:val="04177C72"/>
    <w:rsid w:val="041C5944"/>
    <w:rsid w:val="041D5284"/>
    <w:rsid w:val="0423221B"/>
    <w:rsid w:val="042823D0"/>
    <w:rsid w:val="04294373"/>
    <w:rsid w:val="042B464C"/>
    <w:rsid w:val="043A7B0A"/>
    <w:rsid w:val="04441B70"/>
    <w:rsid w:val="04482AFE"/>
    <w:rsid w:val="044F3718"/>
    <w:rsid w:val="04592EF0"/>
    <w:rsid w:val="04630A86"/>
    <w:rsid w:val="046C069B"/>
    <w:rsid w:val="04804C80"/>
    <w:rsid w:val="048316F5"/>
    <w:rsid w:val="04862A53"/>
    <w:rsid w:val="048D7F23"/>
    <w:rsid w:val="04916EE6"/>
    <w:rsid w:val="04930E0C"/>
    <w:rsid w:val="04993EC9"/>
    <w:rsid w:val="04AA043F"/>
    <w:rsid w:val="04AC0FE6"/>
    <w:rsid w:val="04B34185"/>
    <w:rsid w:val="04B47AAB"/>
    <w:rsid w:val="04B71ADF"/>
    <w:rsid w:val="04B849FE"/>
    <w:rsid w:val="04C161F8"/>
    <w:rsid w:val="04CC4ED2"/>
    <w:rsid w:val="04DC6A44"/>
    <w:rsid w:val="04E10178"/>
    <w:rsid w:val="0505000E"/>
    <w:rsid w:val="052307F8"/>
    <w:rsid w:val="052371ED"/>
    <w:rsid w:val="052707B5"/>
    <w:rsid w:val="053C091E"/>
    <w:rsid w:val="0540010C"/>
    <w:rsid w:val="05405D5B"/>
    <w:rsid w:val="05451B1B"/>
    <w:rsid w:val="0546590E"/>
    <w:rsid w:val="054C7F73"/>
    <w:rsid w:val="054E3F43"/>
    <w:rsid w:val="055322D8"/>
    <w:rsid w:val="05555FBC"/>
    <w:rsid w:val="05614DF4"/>
    <w:rsid w:val="05637199"/>
    <w:rsid w:val="056872C2"/>
    <w:rsid w:val="0571100E"/>
    <w:rsid w:val="05741706"/>
    <w:rsid w:val="057821A1"/>
    <w:rsid w:val="057C4225"/>
    <w:rsid w:val="05827FDF"/>
    <w:rsid w:val="058C2577"/>
    <w:rsid w:val="05910354"/>
    <w:rsid w:val="05920C6A"/>
    <w:rsid w:val="059212DA"/>
    <w:rsid w:val="05971499"/>
    <w:rsid w:val="05975023"/>
    <w:rsid w:val="05994814"/>
    <w:rsid w:val="059B1198"/>
    <w:rsid w:val="059B3C68"/>
    <w:rsid w:val="05A67D35"/>
    <w:rsid w:val="05A95F1B"/>
    <w:rsid w:val="05BA6693"/>
    <w:rsid w:val="05BB35E7"/>
    <w:rsid w:val="05C25C51"/>
    <w:rsid w:val="05D13BCE"/>
    <w:rsid w:val="05D35E57"/>
    <w:rsid w:val="05E15667"/>
    <w:rsid w:val="05E23EF2"/>
    <w:rsid w:val="05E71C3B"/>
    <w:rsid w:val="05EA3ADA"/>
    <w:rsid w:val="05EA53CB"/>
    <w:rsid w:val="05F60A3D"/>
    <w:rsid w:val="05FA0E3B"/>
    <w:rsid w:val="05FC12E7"/>
    <w:rsid w:val="05FC77BB"/>
    <w:rsid w:val="060A78B4"/>
    <w:rsid w:val="060B7B08"/>
    <w:rsid w:val="062A4944"/>
    <w:rsid w:val="062E5CDD"/>
    <w:rsid w:val="06332EC2"/>
    <w:rsid w:val="063A2A27"/>
    <w:rsid w:val="06441586"/>
    <w:rsid w:val="064C0169"/>
    <w:rsid w:val="06544F75"/>
    <w:rsid w:val="065956DC"/>
    <w:rsid w:val="06612B38"/>
    <w:rsid w:val="06650B12"/>
    <w:rsid w:val="067704C7"/>
    <w:rsid w:val="06796686"/>
    <w:rsid w:val="067C2D11"/>
    <w:rsid w:val="06825EB5"/>
    <w:rsid w:val="0684759D"/>
    <w:rsid w:val="06875197"/>
    <w:rsid w:val="068D47A9"/>
    <w:rsid w:val="06915815"/>
    <w:rsid w:val="069F0F25"/>
    <w:rsid w:val="069F71D4"/>
    <w:rsid w:val="06A57066"/>
    <w:rsid w:val="06AC0390"/>
    <w:rsid w:val="06BC07F2"/>
    <w:rsid w:val="06C27299"/>
    <w:rsid w:val="06C35D2B"/>
    <w:rsid w:val="06C51A8C"/>
    <w:rsid w:val="06D7008E"/>
    <w:rsid w:val="06DB6CCA"/>
    <w:rsid w:val="06E20D75"/>
    <w:rsid w:val="06EE6855"/>
    <w:rsid w:val="06FD6AFF"/>
    <w:rsid w:val="0703500B"/>
    <w:rsid w:val="07035C03"/>
    <w:rsid w:val="07156A3A"/>
    <w:rsid w:val="07157746"/>
    <w:rsid w:val="07316207"/>
    <w:rsid w:val="073F379C"/>
    <w:rsid w:val="07402BEF"/>
    <w:rsid w:val="074D489B"/>
    <w:rsid w:val="074F426C"/>
    <w:rsid w:val="07525864"/>
    <w:rsid w:val="075775A0"/>
    <w:rsid w:val="078A0158"/>
    <w:rsid w:val="078E7C81"/>
    <w:rsid w:val="0793355B"/>
    <w:rsid w:val="079B3BDA"/>
    <w:rsid w:val="07AF1E2E"/>
    <w:rsid w:val="07BB2D3D"/>
    <w:rsid w:val="07D4117A"/>
    <w:rsid w:val="07DE5B31"/>
    <w:rsid w:val="07DF1BF1"/>
    <w:rsid w:val="07E01580"/>
    <w:rsid w:val="08006CA3"/>
    <w:rsid w:val="080B2DD6"/>
    <w:rsid w:val="08125277"/>
    <w:rsid w:val="08156D87"/>
    <w:rsid w:val="081968AB"/>
    <w:rsid w:val="082A3EB2"/>
    <w:rsid w:val="083A7BF1"/>
    <w:rsid w:val="08492007"/>
    <w:rsid w:val="084C32CA"/>
    <w:rsid w:val="08531F04"/>
    <w:rsid w:val="085C42E9"/>
    <w:rsid w:val="086B6E59"/>
    <w:rsid w:val="0874496D"/>
    <w:rsid w:val="087652CC"/>
    <w:rsid w:val="087A36BA"/>
    <w:rsid w:val="087B7D34"/>
    <w:rsid w:val="08844B81"/>
    <w:rsid w:val="08A552E5"/>
    <w:rsid w:val="08A61DFF"/>
    <w:rsid w:val="08AE0247"/>
    <w:rsid w:val="08C479F9"/>
    <w:rsid w:val="08C50707"/>
    <w:rsid w:val="08CA7BD0"/>
    <w:rsid w:val="08CC66E9"/>
    <w:rsid w:val="08D340CD"/>
    <w:rsid w:val="08E73FAF"/>
    <w:rsid w:val="08FA3480"/>
    <w:rsid w:val="08FB4768"/>
    <w:rsid w:val="08FE6837"/>
    <w:rsid w:val="08FF25AF"/>
    <w:rsid w:val="090C63E2"/>
    <w:rsid w:val="090D3B30"/>
    <w:rsid w:val="090F0FDE"/>
    <w:rsid w:val="09104029"/>
    <w:rsid w:val="092572F9"/>
    <w:rsid w:val="092D2BF6"/>
    <w:rsid w:val="09306D0D"/>
    <w:rsid w:val="09384CEB"/>
    <w:rsid w:val="093D3F1F"/>
    <w:rsid w:val="09433C2E"/>
    <w:rsid w:val="094D23BD"/>
    <w:rsid w:val="095478C7"/>
    <w:rsid w:val="09592AA9"/>
    <w:rsid w:val="096221C6"/>
    <w:rsid w:val="096E2DB0"/>
    <w:rsid w:val="0973682D"/>
    <w:rsid w:val="097C41AE"/>
    <w:rsid w:val="09814A67"/>
    <w:rsid w:val="098D01EB"/>
    <w:rsid w:val="09954F68"/>
    <w:rsid w:val="09984DA7"/>
    <w:rsid w:val="09A21560"/>
    <w:rsid w:val="09A30909"/>
    <w:rsid w:val="09AE781A"/>
    <w:rsid w:val="09B42991"/>
    <w:rsid w:val="09B44D27"/>
    <w:rsid w:val="09BF2638"/>
    <w:rsid w:val="09D202F7"/>
    <w:rsid w:val="09DA6480"/>
    <w:rsid w:val="09E86CF9"/>
    <w:rsid w:val="09EA7CC6"/>
    <w:rsid w:val="09EF1F7A"/>
    <w:rsid w:val="0A09334F"/>
    <w:rsid w:val="0A0B6209"/>
    <w:rsid w:val="0A0C1447"/>
    <w:rsid w:val="0A0D23A8"/>
    <w:rsid w:val="0A12517C"/>
    <w:rsid w:val="0A1752F4"/>
    <w:rsid w:val="0A200C98"/>
    <w:rsid w:val="0A2609E2"/>
    <w:rsid w:val="0A264426"/>
    <w:rsid w:val="0A33033A"/>
    <w:rsid w:val="0A3773C5"/>
    <w:rsid w:val="0A3C4C36"/>
    <w:rsid w:val="0A3D5975"/>
    <w:rsid w:val="0A445802"/>
    <w:rsid w:val="0A445F02"/>
    <w:rsid w:val="0A482703"/>
    <w:rsid w:val="0A495832"/>
    <w:rsid w:val="0A4D1136"/>
    <w:rsid w:val="0A5127CA"/>
    <w:rsid w:val="0A56766B"/>
    <w:rsid w:val="0A596C9A"/>
    <w:rsid w:val="0A606558"/>
    <w:rsid w:val="0A67311C"/>
    <w:rsid w:val="0A677BEA"/>
    <w:rsid w:val="0A6D4ED5"/>
    <w:rsid w:val="0A6D7E65"/>
    <w:rsid w:val="0A7155DA"/>
    <w:rsid w:val="0A724FF9"/>
    <w:rsid w:val="0A826D0B"/>
    <w:rsid w:val="0A882030"/>
    <w:rsid w:val="0A956624"/>
    <w:rsid w:val="0A981614"/>
    <w:rsid w:val="0A9A45EE"/>
    <w:rsid w:val="0A9D550F"/>
    <w:rsid w:val="0AA0562B"/>
    <w:rsid w:val="0AA275AA"/>
    <w:rsid w:val="0AA63ECF"/>
    <w:rsid w:val="0ABF28AD"/>
    <w:rsid w:val="0AC266BD"/>
    <w:rsid w:val="0AC569C5"/>
    <w:rsid w:val="0AC758A0"/>
    <w:rsid w:val="0ACB1601"/>
    <w:rsid w:val="0ACF65C7"/>
    <w:rsid w:val="0B0026B7"/>
    <w:rsid w:val="0B041938"/>
    <w:rsid w:val="0B1D1D03"/>
    <w:rsid w:val="0B253FA9"/>
    <w:rsid w:val="0B341E4F"/>
    <w:rsid w:val="0B5F6E66"/>
    <w:rsid w:val="0B630F12"/>
    <w:rsid w:val="0B951D0A"/>
    <w:rsid w:val="0B9522B8"/>
    <w:rsid w:val="0BA63F05"/>
    <w:rsid w:val="0BA725BC"/>
    <w:rsid w:val="0BAA7E0D"/>
    <w:rsid w:val="0BC3476C"/>
    <w:rsid w:val="0BC6749C"/>
    <w:rsid w:val="0BC91279"/>
    <w:rsid w:val="0BD14D24"/>
    <w:rsid w:val="0BDD5E4F"/>
    <w:rsid w:val="0BDF3A00"/>
    <w:rsid w:val="0BE12B7D"/>
    <w:rsid w:val="0BE257D6"/>
    <w:rsid w:val="0BE515D7"/>
    <w:rsid w:val="0BEB7737"/>
    <w:rsid w:val="0BF339F3"/>
    <w:rsid w:val="0BF66277"/>
    <w:rsid w:val="0BFC1827"/>
    <w:rsid w:val="0BFF5970"/>
    <w:rsid w:val="0C0477E2"/>
    <w:rsid w:val="0C0F607C"/>
    <w:rsid w:val="0C1103DF"/>
    <w:rsid w:val="0C1C7E8A"/>
    <w:rsid w:val="0C1D1ABB"/>
    <w:rsid w:val="0C1D2822"/>
    <w:rsid w:val="0C223156"/>
    <w:rsid w:val="0C2401B8"/>
    <w:rsid w:val="0C273602"/>
    <w:rsid w:val="0C2D534C"/>
    <w:rsid w:val="0C305D57"/>
    <w:rsid w:val="0C345723"/>
    <w:rsid w:val="0C4F7AA8"/>
    <w:rsid w:val="0C5E1D99"/>
    <w:rsid w:val="0C687510"/>
    <w:rsid w:val="0C702F31"/>
    <w:rsid w:val="0C736022"/>
    <w:rsid w:val="0C7844C1"/>
    <w:rsid w:val="0C7D70B3"/>
    <w:rsid w:val="0C824B86"/>
    <w:rsid w:val="0C830A8C"/>
    <w:rsid w:val="0C8C3E77"/>
    <w:rsid w:val="0C933DE4"/>
    <w:rsid w:val="0CA43A4F"/>
    <w:rsid w:val="0CB63995"/>
    <w:rsid w:val="0CB86A01"/>
    <w:rsid w:val="0CB9520A"/>
    <w:rsid w:val="0CD32DA2"/>
    <w:rsid w:val="0CD41583"/>
    <w:rsid w:val="0CD56EE3"/>
    <w:rsid w:val="0CDA3DE8"/>
    <w:rsid w:val="0CDA4EF6"/>
    <w:rsid w:val="0CEB0D0F"/>
    <w:rsid w:val="0CEE39B4"/>
    <w:rsid w:val="0CF56D29"/>
    <w:rsid w:val="0D060F53"/>
    <w:rsid w:val="0D10018C"/>
    <w:rsid w:val="0D1022C1"/>
    <w:rsid w:val="0D1138F9"/>
    <w:rsid w:val="0D141C6B"/>
    <w:rsid w:val="0D295836"/>
    <w:rsid w:val="0D356A40"/>
    <w:rsid w:val="0D386297"/>
    <w:rsid w:val="0D4A190A"/>
    <w:rsid w:val="0D5A52C9"/>
    <w:rsid w:val="0D5E183A"/>
    <w:rsid w:val="0D631592"/>
    <w:rsid w:val="0D700EFC"/>
    <w:rsid w:val="0D791DFA"/>
    <w:rsid w:val="0D7D7CB8"/>
    <w:rsid w:val="0D7E314D"/>
    <w:rsid w:val="0D844FF9"/>
    <w:rsid w:val="0D8471A5"/>
    <w:rsid w:val="0D85073D"/>
    <w:rsid w:val="0D953A59"/>
    <w:rsid w:val="0D961D18"/>
    <w:rsid w:val="0D974122"/>
    <w:rsid w:val="0DA5453A"/>
    <w:rsid w:val="0DB34E50"/>
    <w:rsid w:val="0DBA5BE6"/>
    <w:rsid w:val="0DBD7C87"/>
    <w:rsid w:val="0DBE6A23"/>
    <w:rsid w:val="0DCC75A6"/>
    <w:rsid w:val="0DDA6D33"/>
    <w:rsid w:val="0DDC5086"/>
    <w:rsid w:val="0DE76DB2"/>
    <w:rsid w:val="0DF81737"/>
    <w:rsid w:val="0DFD4306"/>
    <w:rsid w:val="0E003D4F"/>
    <w:rsid w:val="0E07198E"/>
    <w:rsid w:val="0E0D27AA"/>
    <w:rsid w:val="0E115975"/>
    <w:rsid w:val="0E1A21A1"/>
    <w:rsid w:val="0E246A26"/>
    <w:rsid w:val="0E2F43E7"/>
    <w:rsid w:val="0E303D68"/>
    <w:rsid w:val="0E333969"/>
    <w:rsid w:val="0E386861"/>
    <w:rsid w:val="0E3B06D9"/>
    <w:rsid w:val="0E3C2E7F"/>
    <w:rsid w:val="0E3E2637"/>
    <w:rsid w:val="0E420C4B"/>
    <w:rsid w:val="0E471F75"/>
    <w:rsid w:val="0E491845"/>
    <w:rsid w:val="0E493E2D"/>
    <w:rsid w:val="0E4C3814"/>
    <w:rsid w:val="0E6F61B5"/>
    <w:rsid w:val="0E7D022F"/>
    <w:rsid w:val="0E8C6C2C"/>
    <w:rsid w:val="0E91382F"/>
    <w:rsid w:val="0E9B429D"/>
    <w:rsid w:val="0E9B5461"/>
    <w:rsid w:val="0EA06A3E"/>
    <w:rsid w:val="0EA628B8"/>
    <w:rsid w:val="0EAB3C8C"/>
    <w:rsid w:val="0EC0571C"/>
    <w:rsid w:val="0EC17E9D"/>
    <w:rsid w:val="0EC31961"/>
    <w:rsid w:val="0EC621ED"/>
    <w:rsid w:val="0ED80446"/>
    <w:rsid w:val="0EE134FD"/>
    <w:rsid w:val="0EE36ED9"/>
    <w:rsid w:val="0EE55AA6"/>
    <w:rsid w:val="0EF64D9C"/>
    <w:rsid w:val="0EF83151"/>
    <w:rsid w:val="0EFF5B98"/>
    <w:rsid w:val="0F000F6C"/>
    <w:rsid w:val="0F002CD1"/>
    <w:rsid w:val="0F0226CA"/>
    <w:rsid w:val="0F1661E0"/>
    <w:rsid w:val="0F226C17"/>
    <w:rsid w:val="0F26571A"/>
    <w:rsid w:val="0F425E7E"/>
    <w:rsid w:val="0F4C5BA8"/>
    <w:rsid w:val="0F612C97"/>
    <w:rsid w:val="0F613815"/>
    <w:rsid w:val="0F623F74"/>
    <w:rsid w:val="0F681BB1"/>
    <w:rsid w:val="0F6D0589"/>
    <w:rsid w:val="0F766C26"/>
    <w:rsid w:val="0F861B40"/>
    <w:rsid w:val="0F8B08AD"/>
    <w:rsid w:val="0F8D6950"/>
    <w:rsid w:val="0F947B05"/>
    <w:rsid w:val="0F961ABD"/>
    <w:rsid w:val="0F9A12DF"/>
    <w:rsid w:val="0F9C6378"/>
    <w:rsid w:val="0FA32BEE"/>
    <w:rsid w:val="0FAD2B63"/>
    <w:rsid w:val="0FB62F66"/>
    <w:rsid w:val="0FBE49AB"/>
    <w:rsid w:val="0FBF415A"/>
    <w:rsid w:val="0FC03942"/>
    <w:rsid w:val="0FCA2372"/>
    <w:rsid w:val="0FCE0DB5"/>
    <w:rsid w:val="0FDC2489"/>
    <w:rsid w:val="0FE73BAE"/>
    <w:rsid w:val="0FEA448A"/>
    <w:rsid w:val="0FF86FE5"/>
    <w:rsid w:val="10046B05"/>
    <w:rsid w:val="10076CF1"/>
    <w:rsid w:val="101F38DB"/>
    <w:rsid w:val="10343A0C"/>
    <w:rsid w:val="10473A90"/>
    <w:rsid w:val="104F1FE8"/>
    <w:rsid w:val="10504D4A"/>
    <w:rsid w:val="10532E48"/>
    <w:rsid w:val="10591DC0"/>
    <w:rsid w:val="10603A37"/>
    <w:rsid w:val="1069093E"/>
    <w:rsid w:val="106924BF"/>
    <w:rsid w:val="106A05C6"/>
    <w:rsid w:val="106E5FBE"/>
    <w:rsid w:val="107341A0"/>
    <w:rsid w:val="1076070F"/>
    <w:rsid w:val="10950F00"/>
    <w:rsid w:val="109B6DD3"/>
    <w:rsid w:val="109D6E8E"/>
    <w:rsid w:val="10AC786C"/>
    <w:rsid w:val="10B25BF8"/>
    <w:rsid w:val="10B402CD"/>
    <w:rsid w:val="10BE31B5"/>
    <w:rsid w:val="10C103B3"/>
    <w:rsid w:val="10DF35CF"/>
    <w:rsid w:val="10E10020"/>
    <w:rsid w:val="10E1084E"/>
    <w:rsid w:val="10E80C8A"/>
    <w:rsid w:val="10EC4C25"/>
    <w:rsid w:val="10FC5FE8"/>
    <w:rsid w:val="11086D0D"/>
    <w:rsid w:val="11117125"/>
    <w:rsid w:val="11117A7C"/>
    <w:rsid w:val="11142606"/>
    <w:rsid w:val="11274F74"/>
    <w:rsid w:val="1127649A"/>
    <w:rsid w:val="112B5DEF"/>
    <w:rsid w:val="114A0509"/>
    <w:rsid w:val="11646D81"/>
    <w:rsid w:val="11694BFE"/>
    <w:rsid w:val="11695360"/>
    <w:rsid w:val="116C2ED8"/>
    <w:rsid w:val="116C4C5C"/>
    <w:rsid w:val="116E19E9"/>
    <w:rsid w:val="117711C3"/>
    <w:rsid w:val="117C1AC5"/>
    <w:rsid w:val="117C5F82"/>
    <w:rsid w:val="119003E4"/>
    <w:rsid w:val="11941B68"/>
    <w:rsid w:val="119B1CD4"/>
    <w:rsid w:val="119C41C0"/>
    <w:rsid w:val="11A902D1"/>
    <w:rsid w:val="11AB07AC"/>
    <w:rsid w:val="11BB6098"/>
    <w:rsid w:val="11D34FF2"/>
    <w:rsid w:val="11DA7E6E"/>
    <w:rsid w:val="11E26E55"/>
    <w:rsid w:val="11E5778A"/>
    <w:rsid w:val="11FB6901"/>
    <w:rsid w:val="11FC73B0"/>
    <w:rsid w:val="120845F4"/>
    <w:rsid w:val="120D3177"/>
    <w:rsid w:val="12113D31"/>
    <w:rsid w:val="121D2E3E"/>
    <w:rsid w:val="12256E63"/>
    <w:rsid w:val="12304CC3"/>
    <w:rsid w:val="123A7787"/>
    <w:rsid w:val="123B1797"/>
    <w:rsid w:val="125159D7"/>
    <w:rsid w:val="12537145"/>
    <w:rsid w:val="125B11A2"/>
    <w:rsid w:val="12612AC7"/>
    <w:rsid w:val="12640717"/>
    <w:rsid w:val="12684117"/>
    <w:rsid w:val="126B29BF"/>
    <w:rsid w:val="126D40B7"/>
    <w:rsid w:val="12731F40"/>
    <w:rsid w:val="12743C9E"/>
    <w:rsid w:val="127E26F8"/>
    <w:rsid w:val="127E4EEF"/>
    <w:rsid w:val="12896FA0"/>
    <w:rsid w:val="128A5B72"/>
    <w:rsid w:val="129A5836"/>
    <w:rsid w:val="129C21AA"/>
    <w:rsid w:val="12A84B55"/>
    <w:rsid w:val="12B14F10"/>
    <w:rsid w:val="12B23671"/>
    <w:rsid w:val="12B25881"/>
    <w:rsid w:val="12B66F47"/>
    <w:rsid w:val="12BD0695"/>
    <w:rsid w:val="12C37B61"/>
    <w:rsid w:val="12C74894"/>
    <w:rsid w:val="12CC516D"/>
    <w:rsid w:val="12D42C06"/>
    <w:rsid w:val="12D56D73"/>
    <w:rsid w:val="12D81B88"/>
    <w:rsid w:val="12DF5C74"/>
    <w:rsid w:val="12E3264D"/>
    <w:rsid w:val="12EA05DF"/>
    <w:rsid w:val="12EF0CCF"/>
    <w:rsid w:val="12F45F94"/>
    <w:rsid w:val="12F57F38"/>
    <w:rsid w:val="12FA463B"/>
    <w:rsid w:val="12FD5605"/>
    <w:rsid w:val="12FF3B1B"/>
    <w:rsid w:val="1303548E"/>
    <w:rsid w:val="130D1E87"/>
    <w:rsid w:val="130F515D"/>
    <w:rsid w:val="1310203D"/>
    <w:rsid w:val="131947AF"/>
    <w:rsid w:val="131C6491"/>
    <w:rsid w:val="132750DE"/>
    <w:rsid w:val="1351077C"/>
    <w:rsid w:val="13592184"/>
    <w:rsid w:val="135D6B73"/>
    <w:rsid w:val="13694F68"/>
    <w:rsid w:val="136D21CE"/>
    <w:rsid w:val="136F46C1"/>
    <w:rsid w:val="137F1FE7"/>
    <w:rsid w:val="138A22EC"/>
    <w:rsid w:val="138A3B9A"/>
    <w:rsid w:val="138B5ECE"/>
    <w:rsid w:val="138C6EBB"/>
    <w:rsid w:val="13B21F87"/>
    <w:rsid w:val="13B54D83"/>
    <w:rsid w:val="13B575AC"/>
    <w:rsid w:val="13B95938"/>
    <w:rsid w:val="13BC20E3"/>
    <w:rsid w:val="13BE1078"/>
    <w:rsid w:val="13C62BD5"/>
    <w:rsid w:val="13C67700"/>
    <w:rsid w:val="13E6522E"/>
    <w:rsid w:val="13E91A51"/>
    <w:rsid w:val="13EE74EB"/>
    <w:rsid w:val="13EF2720"/>
    <w:rsid w:val="13F6182E"/>
    <w:rsid w:val="13F62D1E"/>
    <w:rsid w:val="13FF6494"/>
    <w:rsid w:val="140117F5"/>
    <w:rsid w:val="1412042F"/>
    <w:rsid w:val="141955FB"/>
    <w:rsid w:val="14241024"/>
    <w:rsid w:val="14261EF4"/>
    <w:rsid w:val="14322111"/>
    <w:rsid w:val="1439086B"/>
    <w:rsid w:val="143D2E80"/>
    <w:rsid w:val="143D68E9"/>
    <w:rsid w:val="14402DD7"/>
    <w:rsid w:val="1447037A"/>
    <w:rsid w:val="1455487B"/>
    <w:rsid w:val="147F58AB"/>
    <w:rsid w:val="148F64DF"/>
    <w:rsid w:val="149107D3"/>
    <w:rsid w:val="149404C3"/>
    <w:rsid w:val="14941CB2"/>
    <w:rsid w:val="14984024"/>
    <w:rsid w:val="14B25F59"/>
    <w:rsid w:val="14B26AEF"/>
    <w:rsid w:val="14B850A6"/>
    <w:rsid w:val="14B95AFD"/>
    <w:rsid w:val="14C171DD"/>
    <w:rsid w:val="14C17BA3"/>
    <w:rsid w:val="14C33A27"/>
    <w:rsid w:val="14C61CEA"/>
    <w:rsid w:val="14DA57DC"/>
    <w:rsid w:val="14DB4AA5"/>
    <w:rsid w:val="14DE1A3E"/>
    <w:rsid w:val="14E10E89"/>
    <w:rsid w:val="14F3045C"/>
    <w:rsid w:val="150F395E"/>
    <w:rsid w:val="151B6A32"/>
    <w:rsid w:val="15304C53"/>
    <w:rsid w:val="153C318B"/>
    <w:rsid w:val="154F3D26"/>
    <w:rsid w:val="155F3A30"/>
    <w:rsid w:val="15605B71"/>
    <w:rsid w:val="15616F82"/>
    <w:rsid w:val="15621E1F"/>
    <w:rsid w:val="15641458"/>
    <w:rsid w:val="15643E4C"/>
    <w:rsid w:val="1565440F"/>
    <w:rsid w:val="1578118D"/>
    <w:rsid w:val="15870C49"/>
    <w:rsid w:val="158848D6"/>
    <w:rsid w:val="15887067"/>
    <w:rsid w:val="159633AA"/>
    <w:rsid w:val="159B4678"/>
    <w:rsid w:val="15B54725"/>
    <w:rsid w:val="15B557E0"/>
    <w:rsid w:val="15BE580F"/>
    <w:rsid w:val="15C70066"/>
    <w:rsid w:val="15C866B2"/>
    <w:rsid w:val="15CB185C"/>
    <w:rsid w:val="15CF4D24"/>
    <w:rsid w:val="15D16154"/>
    <w:rsid w:val="15D43FC8"/>
    <w:rsid w:val="15D5442A"/>
    <w:rsid w:val="15D71333"/>
    <w:rsid w:val="15E80862"/>
    <w:rsid w:val="15FA2DD8"/>
    <w:rsid w:val="15FA368C"/>
    <w:rsid w:val="16042947"/>
    <w:rsid w:val="160B40CE"/>
    <w:rsid w:val="161E2238"/>
    <w:rsid w:val="162B061F"/>
    <w:rsid w:val="162C045F"/>
    <w:rsid w:val="16375CAE"/>
    <w:rsid w:val="164E2574"/>
    <w:rsid w:val="166E18AB"/>
    <w:rsid w:val="168217BB"/>
    <w:rsid w:val="168258DF"/>
    <w:rsid w:val="16863BD0"/>
    <w:rsid w:val="168C3754"/>
    <w:rsid w:val="1695555A"/>
    <w:rsid w:val="16966701"/>
    <w:rsid w:val="169B6DC2"/>
    <w:rsid w:val="169D7660"/>
    <w:rsid w:val="16AC673F"/>
    <w:rsid w:val="16BA1F74"/>
    <w:rsid w:val="16C1762E"/>
    <w:rsid w:val="16C17F38"/>
    <w:rsid w:val="16C50449"/>
    <w:rsid w:val="16E933AF"/>
    <w:rsid w:val="16FC6E10"/>
    <w:rsid w:val="1702186F"/>
    <w:rsid w:val="1702630D"/>
    <w:rsid w:val="170C1B30"/>
    <w:rsid w:val="17125125"/>
    <w:rsid w:val="17133F06"/>
    <w:rsid w:val="171905A4"/>
    <w:rsid w:val="171E7C97"/>
    <w:rsid w:val="17222D7A"/>
    <w:rsid w:val="172B0C7D"/>
    <w:rsid w:val="172F2DD8"/>
    <w:rsid w:val="172F2FE3"/>
    <w:rsid w:val="17336626"/>
    <w:rsid w:val="173977C2"/>
    <w:rsid w:val="17580D69"/>
    <w:rsid w:val="175F5D24"/>
    <w:rsid w:val="17617EE9"/>
    <w:rsid w:val="176A6469"/>
    <w:rsid w:val="17703068"/>
    <w:rsid w:val="17715C1D"/>
    <w:rsid w:val="177627C3"/>
    <w:rsid w:val="177B2504"/>
    <w:rsid w:val="177D48F8"/>
    <w:rsid w:val="17884E76"/>
    <w:rsid w:val="178B7F6C"/>
    <w:rsid w:val="178D6D92"/>
    <w:rsid w:val="178F1F08"/>
    <w:rsid w:val="1796711D"/>
    <w:rsid w:val="17993EF2"/>
    <w:rsid w:val="179F5F37"/>
    <w:rsid w:val="17A5347C"/>
    <w:rsid w:val="17AF4F87"/>
    <w:rsid w:val="17B6411C"/>
    <w:rsid w:val="17B703BD"/>
    <w:rsid w:val="17B7581E"/>
    <w:rsid w:val="17B82977"/>
    <w:rsid w:val="17B830AD"/>
    <w:rsid w:val="17BA1E08"/>
    <w:rsid w:val="17BC7FB4"/>
    <w:rsid w:val="17C33A09"/>
    <w:rsid w:val="17D77A99"/>
    <w:rsid w:val="17D8254D"/>
    <w:rsid w:val="17DA08EF"/>
    <w:rsid w:val="17E3076E"/>
    <w:rsid w:val="17E44116"/>
    <w:rsid w:val="17E61AED"/>
    <w:rsid w:val="17E90A32"/>
    <w:rsid w:val="17EB0408"/>
    <w:rsid w:val="17EE3159"/>
    <w:rsid w:val="17F21406"/>
    <w:rsid w:val="17F87225"/>
    <w:rsid w:val="17FE0E70"/>
    <w:rsid w:val="180A7C3A"/>
    <w:rsid w:val="181769C2"/>
    <w:rsid w:val="18204DE9"/>
    <w:rsid w:val="18230D42"/>
    <w:rsid w:val="182D4EFF"/>
    <w:rsid w:val="184C5A6A"/>
    <w:rsid w:val="185B3540"/>
    <w:rsid w:val="186616DE"/>
    <w:rsid w:val="1868187D"/>
    <w:rsid w:val="186D5F01"/>
    <w:rsid w:val="187C33F9"/>
    <w:rsid w:val="187D2609"/>
    <w:rsid w:val="18917A64"/>
    <w:rsid w:val="1899176D"/>
    <w:rsid w:val="18A0125B"/>
    <w:rsid w:val="18A75EF1"/>
    <w:rsid w:val="18A82C6B"/>
    <w:rsid w:val="18AB1A38"/>
    <w:rsid w:val="18B04EFD"/>
    <w:rsid w:val="18BA2AB6"/>
    <w:rsid w:val="18BB174E"/>
    <w:rsid w:val="18C42B21"/>
    <w:rsid w:val="18D36C2B"/>
    <w:rsid w:val="18E70D55"/>
    <w:rsid w:val="18F27F38"/>
    <w:rsid w:val="190A4E23"/>
    <w:rsid w:val="191F32FE"/>
    <w:rsid w:val="192B3D13"/>
    <w:rsid w:val="1931025E"/>
    <w:rsid w:val="19334260"/>
    <w:rsid w:val="1947035D"/>
    <w:rsid w:val="195B2D8D"/>
    <w:rsid w:val="196C067F"/>
    <w:rsid w:val="196D39CF"/>
    <w:rsid w:val="197116EA"/>
    <w:rsid w:val="197A064F"/>
    <w:rsid w:val="197E7294"/>
    <w:rsid w:val="19845016"/>
    <w:rsid w:val="199E213D"/>
    <w:rsid w:val="19AB232F"/>
    <w:rsid w:val="19C451DE"/>
    <w:rsid w:val="19C513C0"/>
    <w:rsid w:val="19C67CD2"/>
    <w:rsid w:val="19D04A01"/>
    <w:rsid w:val="19DA61F5"/>
    <w:rsid w:val="19DF4941"/>
    <w:rsid w:val="19E17A83"/>
    <w:rsid w:val="19E77C22"/>
    <w:rsid w:val="19FB5427"/>
    <w:rsid w:val="1A007170"/>
    <w:rsid w:val="1A0079E0"/>
    <w:rsid w:val="1A181BC6"/>
    <w:rsid w:val="1A381C6E"/>
    <w:rsid w:val="1A3D218A"/>
    <w:rsid w:val="1A3E7749"/>
    <w:rsid w:val="1A4974FD"/>
    <w:rsid w:val="1A4E272C"/>
    <w:rsid w:val="1A614BF4"/>
    <w:rsid w:val="1A74772D"/>
    <w:rsid w:val="1A7E1539"/>
    <w:rsid w:val="1A8E7C45"/>
    <w:rsid w:val="1A987314"/>
    <w:rsid w:val="1AA8672E"/>
    <w:rsid w:val="1AB74EDF"/>
    <w:rsid w:val="1AC36FCC"/>
    <w:rsid w:val="1AC37643"/>
    <w:rsid w:val="1ACD4E19"/>
    <w:rsid w:val="1ADC4B36"/>
    <w:rsid w:val="1AEA2444"/>
    <w:rsid w:val="1AFA3F92"/>
    <w:rsid w:val="1AFC1C2E"/>
    <w:rsid w:val="1B036D85"/>
    <w:rsid w:val="1B0864B0"/>
    <w:rsid w:val="1B0C1C39"/>
    <w:rsid w:val="1B167C29"/>
    <w:rsid w:val="1B1A32B6"/>
    <w:rsid w:val="1B1B42C9"/>
    <w:rsid w:val="1B1C400B"/>
    <w:rsid w:val="1B203E03"/>
    <w:rsid w:val="1B255E65"/>
    <w:rsid w:val="1B2A0A2C"/>
    <w:rsid w:val="1B2E4DBB"/>
    <w:rsid w:val="1B5C5FFF"/>
    <w:rsid w:val="1B601D25"/>
    <w:rsid w:val="1B6350A1"/>
    <w:rsid w:val="1B643573"/>
    <w:rsid w:val="1B6F5B11"/>
    <w:rsid w:val="1B801A61"/>
    <w:rsid w:val="1B82779A"/>
    <w:rsid w:val="1B983555"/>
    <w:rsid w:val="1B9F130B"/>
    <w:rsid w:val="1BA01B77"/>
    <w:rsid w:val="1BA160CA"/>
    <w:rsid w:val="1BA9370F"/>
    <w:rsid w:val="1BAE1E5B"/>
    <w:rsid w:val="1BB40172"/>
    <w:rsid w:val="1BB41687"/>
    <w:rsid w:val="1BBC1387"/>
    <w:rsid w:val="1BBC35B2"/>
    <w:rsid w:val="1BBD7FA5"/>
    <w:rsid w:val="1BC26381"/>
    <w:rsid w:val="1BC53A84"/>
    <w:rsid w:val="1BD27C07"/>
    <w:rsid w:val="1BD424A0"/>
    <w:rsid w:val="1BD427E7"/>
    <w:rsid w:val="1BD42E93"/>
    <w:rsid w:val="1BD74233"/>
    <w:rsid w:val="1BDA5674"/>
    <w:rsid w:val="1BE127A9"/>
    <w:rsid w:val="1BE4596D"/>
    <w:rsid w:val="1BED28E7"/>
    <w:rsid w:val="1BF12497"/>
    <w:rsid w:val="1BF50E00"/>
    <w:rsid w:val="1BF65CCF"/>
    <w:rsid w:val="1BFE0D89"/>
    <w:rsid w:val="1C01636F"/>
    <w:rsid w:val="1C0B5DF2"/>
    <w:rsid w:val="1C1C4780"/>
    <w:rsid w:val="1C206C54"/>
    <w:rsid w:val="1C266E30"/>
    <w:rsid w:val="1C284D6B"/>
    <w:rsid w:val="1C3B1F3A"/>
    <w:rsid w:val="1C3F1D07"/>
    <w:rsid w:val="1C410413"/>
    <w:rsid w:val="1C493419"/>
    <w:rsid w:val="1C4C7AD5"/>
    <w:rsid w:val="1C537006"/>
    <w:rsid w:val="1C554EBC"/>
    <w:rsid w:val="1C577338"/>
    <w:rsid w:val="1C5A0862"/>
    <w:rsid w:val="1C5C7DF3"/>
    <w:rsid w:val="1C5F3A01"/>
    <w:rsid w:val="1C6B0408"/>
    <w:rsid w:val="1C712067"/>
    <w:rsid w:val="1C8731A9"/>
    <w:rsid w:val="1C943183"/>
    <w:rsid w:val="1C970E46"/>
    <w:rsid w:val="1CA51C15"/>
    <w:rsid w:val="1CAC036A"/>
    <w:rsid w:val="1CBF674B"/>
    <w:rsid w:val="1CC8248B"/>
    <w:rsid w:val="1CC87A0C"/>
    <w:rsid w:val="1CD64011"/>
    <w:rsid w:val="1CF04C97"/>
    <w:rsid w:val="1CF07B4F"/>
    <w:rsid w:val="1CF140CA"/>
    <w:rsid w:val="1CF352A8"/>
    <w:rsid w:val="1CFF790B"/>
    <w:rsid w:val="1CFF7913"/>
    <w:rsid w:val="1D0C10F0"/>
    <w:rsid w:val="1D0E0DBB"/>
    <w:rsid w:val="1D16784B"/>
    <w:rsid w:val="1D293B55"/>
    <w:rsid w:val="1D3212A0"/>
    <w:rsid w:val="1D326288"/>
    <w:rsid w:val="1D3776F2"/>
    <w:rsid w:val="1D3B54A2"/>
    <w:rsid w:val="1D4015F9"/>
    <w:rsid w:val="1D415094"/>
    <w:rsid w:val="1D4E538E"/>
    <w:rsid w:val="1D54766D"/>
    <w:rsid w:val="1D5700AC"/>
    <w:rsid w:val="1D5707D2"/>
    <w:rsid w:val="1D584FE5"/>
    <w:rsid w:val="1D5A1093"/>
    <w:rsid w:val="1D5A5204"/>
    <w:rsid w:val="1D5D7F6B"/>
    <w:rsid w:val="1D5E2B65"/>
    <w:rsid w:val="1D7826CB"/>
    <w:rsid w:val="1D84010F"/>
    <w:rsid w:val="1D8731E8"/>
    <w:rsid w:val="1D883650"/>
    <w:rsid w:val="1D8A17E9"/>
    <w:rsid w:val="1D8D67EC"/>
    <w:rsid w:val="1D971F27"/>
    <w:rsid w:val="1D9A27D9"/>
    <w:rsid w:val="1DB90810"/>
    <w:rsid w:val="1DC55D8A"/>
    <w:rsid w:val="1DC56122"/>
    <w:rsid w:val="1DDA2933"/>
    <w:rsid w:val="1DE13578"/>
    <w:rsid w:val="1DE649C2"/>
    <w:rsid w:val="1DF35743"/>
    <w:rsid w:val="1E060952"/>
    <w:rsid w:val="1E0C619F"/>
    <w:rsid w:val="1E0E78D2"/>
    <w:rsid w:val="1E100E96"/>
    <w:rsid w:val="1E236E89"/>
    <w:rsid w:val="1E255EC1"/>
    <w:rsid w:val="1E2F562B"/>
    <w:rsid w:val="1E3B7490"/>
    <w:rsid w:val="1E41765B"/>
    <w:rsid w:val="1E4462EA"/>
    <w:rsid w:val="1E4815ED"/>
    <w:rsid w:val="1E4E70B0"/>
    <w:rsid w:val="1E532BBA"/>
    <w:rsid w:val="1E6C66D8"/>
    <w:rsid w:val="1E74116D"/>
    <w:rsid w:val="1E94106F"/>
    <w:rsid w:val="1EA36D4D"/>
    <w:rsid w:val="1EA4472E"/>
    <w:rsid w:val="1EA81462"/>
    <w:rsid w:val="1EA85DF0"/>
    <w:rsid w:val="1EB4536F"/>
    <w:rsid w:val="1EBA12BC"/>
    <w:rsid w:val="1EC21BB2"/>
    <w:rsid w:val="1ED925F7"/>
    <w:rsid w:val="1ED92C4E"/>
    <w:rsid w:val="1EEA320A"/>
    <w:rsid w:val="1EF06B4D"/>
    <w:rsid w:val="1F0367EE"/>
    <w:rsid w:val="1F0B58D8"/>
    <w:rsid w:val="1F1C62A5"/>
    <w:rsid w:val="1F1F243C"/>
    <w:rsid w:val="1F271A34"/>
    <w:rsid w:val="1F2741AF"/>
    <w:rsid w:val="1F2B1BC3"/>
    <w:rsid w:val="1F304BAF"/>
    <w:rsid w:val="1F347EB6"/>
    <w:rsid w:val="1F4941B9"/>
    <w:rsid w:val="1F4E1B10"/>
    <w:rsid w:val="1F803B54"/>
    <w:rsid w:val="1F832819"/>
    <w:rsid w:val="1F8E094B"/>
    <w:rsid w:val="1F996062"/>
    <w:rsid w:val="1F9C4F16"/>
    <w:rsid w:val="1F9F3340"/>
    <w:rsid w:val="1FA86402"/>
    <w:rsid w:val="1FAE65A6"/>
    <w:rsid w:val="1FBA02A6"/>
    <w:rsid w:val="1FBE2DF3"/>
    <w:rsid w:val="1FD40A41"/>
    <w:rsid w:val="1FDB372D"/>
    <w:rsid w:val="1FE30501"/>
    <w:rsid w:val="1FE46530"/>
    <w:rsid w:val="1FE55D12"/>
    <w:rsid w:val="1FE97E1C"/>
    <w:rsid w:val="1FEF3F63"/>
    <w:rsid w:val="1FF32042"/>
    <w:rsid w:val="20006D28"/>
    <w:rsid w:val="20022A82"/>
    <w:rsid w:val="20295664"/>
    <w:rsid w:val="202A4260"/>
    <w:rsid w:val="203C15A8"/>
    <w:rsid w:val="2045676E"/>
    <w:rsid w:val="205A0976"/>
    <w:rsid w:val="205A75AD"/>
    <w:rsid w:val="205B0784"/>
    <w:rsid w:val="20655CD1"/>
    <w:rsid w:val="206B35EB"/>
    <w:rsid w:val="206E6ACA"/>
    <w:rsid w:val="20983370"/>
    <w:rsid w:val="20A01370"/>
    <w:rsid w:val="20AB5719"/>
    <w:rsid w:val="20BF1920"/>
    <w:rsid w:val="20C11159"/>
    <w:rsid w:val="20C275C1"/>
    <w:rsid w:val="20D270E8"/>
    <w:rsid w:val="20D33237"/>
    <w:rsid w:val="20ED1C8B"/>
    <w:rsid w:val="20F46A5E"/>
    <w:rsid w:val="20F8721C"/>
    <w:rsid w:val="20FB6ED6"/>
    <w:rsid w:val="210A6C0D"/>
    <w:rsid w:val="21124819"/>
    <w:rsid w:val="21163AA1"/>
    <w:rsid w:val="21195F20"/>
    <w:rsid w:val="21422880"/>
    <w:rsid w:val="214700BD"/>
    <w:rsid w:val="214A2D01"/>
    <w:rsid w:val="214B028B"/>
    <w:rsid w:val="21535301"/>
    <w:rsid w:val="215E75DB"/>
    <w:rsid w:val="21657DDE"/>
    <w:rsid w:val="21760133"/>
    <w:rsid w:val="2176593B"/>
    <w:rsid w:val="217A0AA8"/>
    <w:rsid w:val="217F1FF1"/>
    <w:rsid w:val="21841A97"/>
    <w:rsid w:val="218C2876"/>
    <w:rsid w:val="218E7CED"/>
    <w:rsid w:val="21905B80"/>
    <w:rsid w:val="21905E18"/>
    <w:rsid w:val="219D6BA2"/>
    <w:rsid w:val="21B1311A"/>
    <w:rsid w:val="21B45B6F"/>
    <w:rsid w:val="21C5442D"/>
    <w:rsid w:val="21C80EC2"/>
    <w:rsid w:val="21C829E1"/>
    <w:rsid w:val="21CC5875"/>
    <w:rsid w:val="21CF5C9A"/>
    <w:rsid w:val="21D2686A"/>
    <w:rsid w:val="21D44118"/>
    <w:rsid w:val="21DD0600"/>
    <w:rsid w:val="21E13856"/>
    <w:rsid w:val="21F14DC3"/>
    <w:rsid w:val="21F30BA9"/>
    <w:rsid w:val="22105554"/>
    <w:rsid w:val="221D1A37"/>
    <w:rsid w:val="2224589C"/>
    <w:rsid w:val="222629B9"/>
    <w:rsid w:val="22323635"/>
    <w:rsid w:val="223F6B27"/>
    <w:rsid w:val="22524501"/>
    <w:rsid w:val="225A0A9C"/>
    <w:rsid w:val="22670720"/>
    <w:rsid w:val="22750E61"/>
    <w:rsid w:val="227D2456"/>
    <w:rsid w:val="228A177E"/>
    <w:rsid w:val="228E3D0E"/>
    <w:rsid w:val="229865E4"/>
    <w:rsid w:val="229C4B0D"/>
    <w:rsid w:val="22AB7883"/>
    <w:rsid w:val="22BB6FBE"/>
    <w:rsid w:val="22C02372"/>
    <w:rsid w:val="22C1340E"/>
    <w:rsid w:val="22C6234D"/>
    <w:rsid w:val="22CE3AAE"/>
    <w:rsid w:val="22CF703A"/>
    <w:rsid w:val="22D756DE"/>
    <w:rsid w:val="22DC33BB"/>
    <w:rsid w:val="22DC4509"/>
    <w:rsid w:val="22E35F73"/>
    <w:rsid w:val="22E95189"/>
    <w:rsid w:val="22ED7121"/>
    <w:rsid w:val="22F86F13"/>
    <w:rsid w:val="2303364B"/>
    <w:rsid w:val="231232C4"/>
    <w:rsid w:val="232A0A31"/>
    <w:rsid w:val="23415F4A"/>
    <w:rsid w:val="234B3B84"/>
    <w:rsid w:val="235D234F"/>
    <w:rsid w:val="235E0C2C"/>
    <w:rsid w:val="23645A1D"/>
    <w:rsid w:val="236A474C"/>
    <w:rsid w:val="236F41BF"/>
    <w:rsid w:val="23731064"/>
    <w:rsid w:val="23784380"/>
    <w:rsid w:val="23814B29"/>
    <w:rsid w:val="238E7538"/>
    <w:rsid w:val="2398666D"/>
    <w:rsid w:val="23A55C92"/>
    <w:rsid w:val="23A74BF0"/>
    <w:rsid w:val="23D177A0"/>
    <w:rsid w:val="23F302A8"/>
    <w:rsid w:val="23F5019A"/>
    <w:rsid w:val="23F84F5A"/>
    <w:rsid w:val="240150A2"/>
    <w:rsid w:val="24050379"/>
    <w:rsid w:val="24050B37"/>
    <w:rsid w:val="24103178"/>
    <w:rsid w:val="241418B2"/>
    <w:rsid w:val="241556BA"/>
    <w:rsid w:val="24191B1F"/>
    <w:rsid w:val="2426629A"/>
    <w:rsid w:val="242675BC"/>
    <w:rsid w:val="24384544"/>
    <w:rsid w:val="244059C4"/>
    <w:rsid w:val="244572E3"/>
    <w:rsid w:val="24472266"/>
    <w:rsid w:val="244C27F5"/>
    <w:rsid w:val="244F7491"/>
    <w:rsid w:val="24697B8D"/>
    <w:rsid w:val="247426CD"/>
    <w:rsid w:val="247B6A64"/>
    <w:rsid w:val="247D6ACB"/>
    <w:rsid w:val="2487356B"/>
    <w:rsid w:val="249055AB"/>
    <w:rsid w:val="24953206"/>
    <w:rsid w:val="24A25196"/>
    <w:rsid w:val="24A6787E"/>
    <w:rsid w:val="24AA58E7"/>
    <w:rsid w:val="24AD3DD5"/>
    <w:rsid w:val="24AE2993"/>
    <w:rsid w:val="24B24646"/>
    <w:rsid w:val="24BC30E1"/>
    <w:rsid w:val="24BD3A2F"/>
    <w:rsid w:val="24CC5839"/>
    <w:rsid w:val="24D10CA0"/>
    <w:rsid w:val="24D35FC3"/>
    <w:rsid w:val="24DF304C"/>
    <w:rsid w:val="24DF3BF1"/>
    <w:rsid w:val="24E812F4"/>
    <w:rsid w:val="24EF743E"/>
    <w:rsid w:val="24FA4E7F"/>
    <w:rsid w:val="24FB5BA9"/>
    <w:rsid w:val="250704B4"/>
    <w:rsid w:val="25071668"/>
    <w:rsid w:val="250D1CEE"/>
    <w:rsid w:val="25335D40"/>
    <w:rsid w:val="253A3B47"/>
    <w:rsid w:val="253C62B9"/>
    <w:rsid w:val="25402EC2"/>
    <w:rsid w:val="2544407D"/>
    <w:rsid w:val="254A734A"/>
    <w:rsid w:val="256D196D"/>
    <w:rsid w:val="256E6231"/>
    <w:rsid w:val="257068F0"/>
    <w:rsid w:val="257914EA"/>
    <w:rsid w:val="25852D35"/>
    <w:rsid w:val="258706FF"/>
    <w:rsid w:val="2588713E"/>
    <w:rsid w:val="258A3D56"/>
    <w:rsid w:val="258A55EF"/>
    <w:rsid w:val="258C2D76"/>
    <w:rsid w:val="258E2076"/>
    <w:rsid w:val="259A3D36"/>
    <w:rsid w:val="25A02EA3"/>
    <w:rsid w:val="25AE377B"/>
    <w:rsid w:val="25B400F2"/>
    <w:rsid w:val="25B9644E"/>
    <w:rsid w:val="25BA23A3"/>
    <w:rsid w:val="25BA26CA"/>
    <w:rsid w:val="25BA37E8"/>
    <w:rsid w:val="25BF44A8"/>
    <w:rsid w:val="25C11FB5"/>
    <w:rsid w:val="25C410DB"/>
    <w:rsid w:val="25C8264D"/>
    <w:rsid w:val="25D33AB4"/>
    <w:rsid w:val="25D65619"/>
    <w:rsid w:val="25E26FD9"/>
    <w:rsid w:val="25E93A05"/>
    <w:rsid w:val="25F7354F"/>
    <w:rsid w:val="25FA2178"/>
    <w:rsid w:val="260B798E"/>
    <w:rsid w:val="26155CD6"/>
    <w:rsid w:val="261B3989"/>
    <w:rsid w:val="26275C1A"/>
    <w:rsid w:val="262E5A82"/>
    <w:rsid w:val="263201D5"/>
    <w:rsid w:val="263A571F"/>
    <w:rsid w:val="26404521"/>
    <w:rsid w:val="264E030F"/>
    <w:rsid w:val="26603265"/>
    <w:rsid w:val="26671107"/>
    <w:rsid w:val="266A3B78"/>
    <w:rsid w:val="2671367E"/>
    <w:rsid w:val="267F3F12"/>
    <w:rsid w:val="26805038"/>
    <w:rsid w:val="26926AE3"/>
    <w:rsid w:val="26975026"/>
    <w:rsid w:val="269E199E"/>
    <w:rsid w:val="26A23ADB"/>
    <w:rsid w:val="26A60AC9"/>
    <w:rsid w:val="26B16692"/>
    <w:rsid w:val="26B2777C"/>
    <w:rsid w:val="26BD60F1"/>
    <w:rsid w:val="26C07187"/>
    <w:rsid w:val="26C420FB"/>
    <w:rsid w:val="26C65029"/>
    <w:rsid w:val="26CC5F5C"/>
    <w:rsid w:val="26CE0ECB"/>
    <w:rsid w:val="26D12BF9"/>
    <w:rsid w:val="26D159D9"/>
    <w:rsid w:val="26D23953"/>
    <w:rsid w:val="26D94E21"/>
    <w:rsid w:val="26DF4BCC"/>
    <w:rsid w:val="26E16864"/>
    <w:rsid w:val="26E67D74"/>
    <w:rsid w:val="26EA2407"/>
    <w:rsid w:val="26ED28A7"/>
    <w:rsid w:val="26F715D4"/>
    <w:rsid w:val="27000806"/>
    <w:rsid w:val="27025F7D"/>
    <w:rsid w:val="27042787"/>
    <w:rsid w:val="27052492"/>
    <w:rsid w:val="270634D1"/>
    <w:rsid w:val="270864CE"/>
    <w:rsid w:val="270C5488"/>
    <w:rsid w:val="271213C5"/>
    <w:rsid w:val="27215ACB"/>
    <w:rsid w:val="27263412"/>
    <w:rsid w:val="272951EE"/>
    <w:rsid w:val="272A4353"/>
    <w:rsid w:val="27451A75"/>
    <w:rsid w:val="274E32B4"/>
    <w:rsid w:val="274E6BB8"/>
    <w:rsid w:val="275C01E0"/>
    <w:rsid w:val="27621C47"/>
    <w:rsid w:val="27676C68"/>
    <w:rsid w:val="27732396"/>
    <w:rsid w:val="279B07B3"/>
    <w:rsid w:val="279D1943"/>
    <w:rsid w:val="279F19BD"/>
    <w:rsid w:val="27AE3016"/>
    <w:rsid w:val="27C40B26"/>
    <w:rsid w:val="27C43D77"/>
    <w:rsid w:val="27C620AC"/>
    <w:rsid w:val="27CA4C97"/>
    <w:rsid w:val="27D15DC2"/>
    <w:rsid w:val="27E77DBB"/>
    <w:rsid w:val="27EB209E"/>
    <w:rsid w:val="27F44DB7"/>
    <w:rsid w:val="28027E88"/>
    <w:rsid w:val="28056E89"/>
    <w:rsid w:val="281B74E3"/>
    <w:rsid w:val="28213038"/>
    <w:rsid w:val="282C1DFB"/>
    <w:rsid w:val="282D59A4"/>
    <w:rsid w:val="283A5631"/>
    <w:rsid w:val="283E75B6"/>
    <w:rsid w:val="28400413"/>
    <w:rsid w:val="284D39EB"/>
    <w:rsid w:val="28592DD2"/>
    <w:rsid w:val="285E07F4"/>
    <w:rsid w:val="28615019"/>
    <w:rsid w:val="28620443"/>
    <w:rsid w:val="286E09B0"/>
    <w:rsid w:val="287247AD"/>
    <w:rsid w:val="28781BF9"/>
    <w:rsid w:val="28785B69"/>
    <w:rsid w:val="288241FA"/>
    <w:rsid w:val="288436C3"/>
    <w:rsid w:val="28864A15"/>
    <w:rsid w:val="288663AF"/>
    <w:rsid w:val="289F3D16"/>
    <w:rsid w:val="28A0703A"/>
    <w:rsid w:val="28A51AF9"/>
    <w:rsid w:val="28C34604"/>
    <w:rsid w:val="28C62FD0"/>
    <w:rsid w:val="28C641DE"/>
    <w:rsid w:val="28CF271B"/>
    <w:rsid w:val="28D57C65"/>
    <w:rsid w:val="28DD615E"/>
    <w:rsid w:val="28E45005"/>
    <w:rsid w:val="28FA3AB5"/>
    <w:rsid w:val="28FB37DE"/>
    <w:rsid w:val="29033957"/>
    <w:rsid w:val="290914B2"/>
    <w:rsid w:val="29126586"/>
    <w:rsid w:val="29137EBF"/>
    <w:rsid w:val="29146C8C"/>
    <w:rsid w:val="29174580"/>
    <w:rsid w:val="292402C5"/>
    <w:rsid w:val="2925707B"/>
    <w:rsid w:val="29264A70"/>
    <w:rsid w:val="29331D5B"/>
    <w:rsid w:val="2936234E"/>
    <w:rsid w:val="29372922"/>
    <w:rsid w:val="29377678"/>
    <w:rsid w:val="295424CE"/>
    <w:rsid w:val="296927E0"/>
    <w:rsid w:val="296E5AAD"/>
    <w:rsid w:val="29764E4B"/>
    <w:rsid w:val="297E1EA1"/>
    <w:rsid w:val="299012EE"/>
    <w:rsid w:val="299629FD"/>
    <w:rsid w:val="2997513F"/>
    <w:rsid w:val="29975F04"/>
    <w:rsid w:val="299A0786"/>
    <w:rsid w:val="29A27FD6"/>
    <w:rsid w:val="29A374C3"/>
    <w:rsid w:val="29A95D60"/>
    <w:rsid w:val="29AA1909"/>
    <w:rsid w:val="29D11FB5"/>
    <w:rsid w:val="29D46E35"/>
    <w:rsid w:val="29DE5557"/>
    <w:rsid w:val="29DF1631"/>
    <w:rsid w:val="29E2431E"/>
    <w:rsid w:val="29EC0D3D"/>
    <w:rsid w:val="29EC5B08"/>
    <w:rsid w:val="29F35235"/>
    <w:rsid w:val="29FC67CE"/>
    <w:rsid w:val="2A026EC0"/>
    <w:rsid w:val="2A076920"/>
    <w:rsid w:val="2A092831"/>
    <w:rsid w:val="2A1D16BB"/>
    <w:rsid w:val="2A1D4F19"/>
    <w:rsid w:val="2A334E67"/>
    <w:rsid w:val="2A3E4FB4"/>
    <w:rsid w:val="2A5454B5"/>
    <w:rsid w:val="2A571963"/>
    <w:rsid w:val="2A5A2DD4"/>
    <w:rsid w:val="2A5F4925"/>
    <w:rsid w:val="2A73541B"/>
    <w:rsid w:val="2A744D44"/>
    <w:rsid w:val="2A8E2A47"/>
    <w:rsid w:val="2ABB4243"/>
    <w:rsid w:val="2AC45125"/>
    <w:rsid w:val="2ACE1952"/>
    <w:rsid w:val="2ACF23A2"/>
    <w:rsid w:val="2ACF3003"/>
    <w:rsid w:val="2AD17992"/>
    <w:rsid w:val="2AD30EBF"/>
    <w:rsid w:val="2AF565BE"/>
    <w:rsid w:val="2B0C3479"/>
    <w:rsid w:val="2B0D54EF"/>
    <w:rsid w:val="2B1D0FED"/>
    <w:rsid w:val="2B1E3E78"/>
    <w:rsid w:val="2B2175B0"/>
    <w:rsid w:val="2B2545FA"/>
    <w:rsid w:val="2B273D67"/>
    <w:rsid w:val="2B2C6C67"/>
    <w:rsid w:val="2B321E5D"/>
    <w:rsid w:val="2B396E92"/>
    <w:rsid w:val="2B421780"/>
    <w:rsid w:val="2B474F83"/>
    <w:rsid w:val="2B4D62BD"/>
    <w:rsid w:val="2B517E7E"/>
    <w:rsid w:val="2B527AAB"/>
    <w:rsid w:val="2B545EF7"/>
    <w:rsid w:val="2B554570"/>
    <w:rsid w:val="2B736BE3"/>
    <w:rsid w:val="2B82476D"/>
    <w:rsid w:val="2B87095F"/>
    <w:rsid w:val="2BA306B7"/>
    <w:rsid w:val="2BAA1A10"/>
    <w:rsid w:val="2BAF7DFE"/>
    <w:rsid w:val="2BBA5D83"/>
    <w:rsid w:val="2BBD15C5"/>
    <w:rsid w:val="2BBD7815"/>
    <w:rsid w:val="2BC72896"/>
    <w:rsid w:val="2BD32396"/>
    <w:rsid w:val="2BD911BD"/>
    <w:rsid w:val="2BF530E7"/>
    <w:rsid w:val="2BFD570E"/>
    <w:rsid w:val="2C1E136A"/>
    <w:rsid w:val="2C2B05CB"/>
    <w:rsid w:val="2C2F5B4C"/>
    <w:rsid w:val="2C31330F"/>
    <w:rsid w:val="2C432E5E"/>
    <w:rsid w:val="2C4C7ECF"/>
    <w:rsid w:val="2C5440B5"/>
    <w:rsid w:val="2C551410"/>
    <w:rsid w:val="2C567465"/>
    <w:rsid w:val="2C643601"/>
    <w:rsid w:val="2C67417D"/>
    <w:rsid w:val="2C6C171D"/>
    <w:rsid w:val="2C6E2914"/>
    <w:rsid w:val="2C7A2A0D"/>
    <w:rsid w:val="2C7E66A1"/>
    <w:rsid w:val="2C844903"/>
    <w:rsid w:val="2C870570"/>
    <w:rsid w:val="2C913158"/>
    <w:rsid w:val="2CAC0DF7"/>
    <w:rsid w:val="2CAC729F"/>
    <w:rsid w:val="2CB36FD9"/>
    <w:rsid w:val="2CB40735"/>
    <w:rsid w:val="2CB71D0D"/>
    <w:rsid w:val="2CBE331A"/>
    <w:rsid w:val="2CBF45C7"/>
    <w:rsid w:val="2CC55BB1"/>
    <w:rsid w:val="2CDB55A7"/>
    <w:rsid w:val="2CDF10E8"/>
    <w:rsid w:val="2CE27303"/>
    <w:rsid w:val="2CE96CB2"/>
    <w:rsid w:val="2CF647A5"/>
    <w:rsid w:val="2CFB2172"/>
    <w:rsid w:val="2D054130"/>
    <w:rsid w:val="2D093024"/>
    <w:rsid w:val="2D0B33C2"/>
    <w:rsid w:val="2D105055"/>
    <w:rsid w:val="2D1957C6"/>
    <w:rsid w:val="2D1D67A9"/>
    <w:rsid w:val="2D2959EA"/>
    <w:rsid w:val="2D4B618E"/>
    <w:rsid w:val="2D501CD1"/>
    <w:rsid w:val="2D56632A"/>
    <w:rsid w:val="2D5A497D"/>
    <w:rsid w:val="2D5C1182"/>
    <w:rsid w:val="2D604B10"/>
    <w:rsid w:val="2D683591"/>
    <w:rsid w:val="2D6F551C"/>
    <w:rsid w:val="2D715F19"/>
    <w:rsid w:val="2D9330F5"/>
    <w:rsid w:val="2DA23C55"/>
    <w:rsid w:val="2DAA492F"/>
    <w:rsid w:val="2DB415F4"/>
    <w:rsid w:val="2DB75994"/>
    <w:rsid w:val="2DCC5319"/>
    <w:rsid w:val="2DDE4689"/>
    <w:rsid w:val="2DDE7874"/>
    <w:rsid w:val="2DDF5CBA"/>
    <w:rsid w:val="2DE95ACB"/>
    <w:rsid w:val="2DFB0266"/>
    <w:rsid w:val="2DFF5F87"/>
    <w:rsid w:val="2E0B2A90"/>
    <w:rsid w:val="2E247D60"/>
    <w:rsid w:val="2E2777DC"/>
    <w:rsid w:val="2E38349C"/>
    <w:rsid w:val="2E4176AB"/>
    <w:rsid w:val="2E482DB9"/>
    <w:rsid w:val="2E483C40"/>
    <w:rsid w:val="2E4C0504"/>
    <w:rsid w:val="2E5C37D9"/>
    <w:rsid w:val="2E5E5B4A"/>
    <w:rsid w:val="2E67070A"/>
    <w:rsid w:val="2E6B3E34"/>
    <w:rsid w:val="2E73585E"/>
    <w:rsid w:val="2E7E2CFB"/>
    <w:rsid w:val="2E7F6962"/>
    <w:rsid w:val="2E8509F2"/>
    <w:rsid w:val="2E900D2B"/>
    <w:rsid w:val="2E990C04"/>
    <w:rsid w:val="2ECB0198"/>
    <w:rsid w:val="2ED003DF"/>
    <w:rsid w:val="2ED24B47"/>
    <w:rsid w:val="2ED5675C"/>
    <w:rsid w:val="2ED64A28"/>
    <w:rsid w:val="2EE9277A"/>
    <w:rsid w:val="2EED4DDC"/>
    <w:rsid w:val="2EEE32E0"/>
    <w:rsid w:val="2EF73EE0"/>
    <w:rsid w:val="2EF90114"/>
    <w:rsid w:val="2EFD54C0"/>
    <w:rsid w:val="2F02332A"/>
    <w:rsid w:val="2F073487"/>
    <w:rsid w:val="2F116B6B"/>
    <w:rsid w:val="2F171399"/>
    <w:rsid w:val="2F1A44B7"/>
    <w:rsid w:val="2F212060"/>
    <w:rsid w:val="2F3A4F4C"/>
    <w:rsid w:val="2F462BFD"/>
    <w:rsid w:val="2F5A69A5"/>
    <w:rsid w:val="2F633B19"/>
    <w:rsid w:val="2F652176"/>
    <w:rsid w:val="2F67025E"/>
    <w:rsid w:val="2F6F19AF"/>
    <w:rsid w:val="2F775847"/>
    <w:rsid w:val="2F79541A"/>
    <w:rsid w:val="2F7D3319"/>
    <w:rsid w:val="2F8A0C88"/>
    <w:rsid w:val="2F8A4976"/>
    <w:rsid w:val="2F912D14"/>
    <w:rsid w:val="2F9A6140"/>
    <w:rsid w:val="2FB639D4"/>
    <w:rsid w:val="2FBB0AA9"/>
    <w:rsid w:val="2FC423AA"/>
    <w:rsid w:val="2FC75FD3"/>
    <w:rsid w:val="2FD76607"/>
    <w:rsid w:val="2FD93588"/>
    <w:rsid w:val="2FF140D5"/>
    <w:rsid w:val="2FF259B3"/>
    <w:rsid w:val="30084262"/>
    <w:rsid w:val="302565B8"/>
    <w:rsid w:val="30274FCD"/>
    <w:rsid w:val="30404796"/>
    <w:rsid w:val="304148B5"/>
    <w:rsid w:val="3042239D"/>
    <w:rsid w:val="304B5D4C"/>
    <w:rsid w:val="304F37C1"/>
    <w:rsid w:val="3065511F"/>
    <w:rsid w:val="30660B72"/>
    <w:rsid w:val="306635EE"/>
    <w:rsid w:val="3068754B"/>
    <w:rsid w:val="306A47CB"/>
    <w:rsid w:val="306B6376"/>
    <w:rsid w:val="30725098"/>
    <w:rsid w:val="30791F81"/>
    <w:rsid w:val="308C5A12"/>
    <w:rsid w:val="309B13E3"/>
    <w:rsid w:val="30A30086"/>
    <w:rsid w:val="30AA4C0E"/>
    <w:rsid w:val="30AD00F1"/>
    <w:rsid w:val="30AF0C37"/>
    <w:rsid w:val="30B62483"/>
    <w:rsid w:val="30C97C89"/>
    <w:rsid w:val="30D076D4"/>
    <w:rsid w:val="30DC6A4E"/>
    <w:rsid w:val="30E62FA9"/>
    <w:rsid w:val="30E943D7"/>
    <w:rsid w:val="30E94771"/>
    <w:rsid w:val="30EA2F9B"/>
    <w:rsid w:val="30EF024F"/>
    <w:rsid w:val="30F25477"/>
    <w:rsid w:val="30F83463"/>
    <w:rsid w:val="31037C40"/>
    <w:rsid w:val="311702BB"/>
    <w:rsid w:val="312757C4"/>
    <w:rsid w:val="312C5C0E"/>
    <w:rsid w:val="312E0B2C"/>
    <w:rsid w:val="312F169B"/>
    <w:rsid w:val="3142037D"/>
    <w:rsid w:val="3150582D"/>
    <w:rsid w:val="31590BE1"/>
    <w:rsid w:val="3168009E"/>
    <w:rsid w:val="316B4A3A"/>
    <w:rsid w:val="31786578"/>
    <w:rsid w:val="318C2046"/>
    <w:rsid w:val="319738F6"/>
    <w:rsid w:val="319E738B"/>
    <w:rsid w:val="31A13FEF"/>
    <w:rsid w:val="31A52D05"/>
    <w:rsid w:val="31A80FBB"/>
    <w:rsid w:val="31A8376E"/>
    <w:rsid w:val="31AD31AA"/>
    <w:rsid w:val="31B66FC6"/>
    <w:rsid w:val="31BC3104"/>
    <w:rsid w:val="31C94DDA"/>
    <w:rsid w:val="31D00204"/>
    <w:rsid w:val="31D36B36"/>
    <w:rsid w:val="31E34978"/>
    <w:rsid w:val="31E6392C"/>
    <w:rsid w:val="320129DB"/>
    <w:rsid w:val="3212778D"/>
    <w:rsid w:val="322045E7"/>
    <w:rsid w:val="322C14DA"/>
    <w:rsid w:val="322C4EAB"/>
    <w:rsid w:val="323E1669"/>
    <w:rsid w:val="32727CE3"/>
    <w:rsid w:val="327867AB"/>
    <w:rsid w:val="328A032B"/>
    <w:rsid w:val="328B01DD"/>
    <w:rsid w:val="328B2590"/>
    <w:rsid w:val="329D08B8"/>
    <w:rsid w:val="32A4454B"/>
    <w:rsid w:val="32C007BC"/>
    <w:rsid w:val="32C33301"/>
    <w:rsid w:val="32C33A8F"/>
    <w:rsid w:val="32C73691"/>
    <w:rsid w:val="32CC0404"/>
    <w:rsid w:val="32CC1696"/>
    <w:rsid w:val="32E02706"/>
    <w:rsid w:val="32E13005"/>
    <w:rsid w:val="330270C4"/>
    <w:rsid w:val="33084D16"/>
    <w:rsid w:val="3309525F"/>
    <w:rsid w:val="331E2B76"/>
    <w:rsid w:val="3326484B"/>
    <w:rsid w:val="3326503E"/>
    <w:rsid w:val="33267BC4"/>
    <w:rsid w:val="33375C9B"/>
    <w:rsid w:val="33443CEE"/>
    <w:rsid w:val="334A4AC4"/>
    <w:rsid w:val="334B3980"/>
    <w:rsid w:val="334C38B1"/>
    <w:rsid w:val="335254A0"/>
    <w:rsid w:val="3359383F"/>
    <w:rsid w:val="336A6A52"/>
    <w:rsid w:val="33745ED7"/>
    <w:rsid w:val="338E400C"/>
    <w:rsid w:val="33973E3B"/>
    <w:rsid w:val="339F752F"/>
    <w:rsid w:val="33AD11EE"/>
    <w:rsid w:val="33B34884"/>
    <w:rsid w:val="33B43FAC"/>
    <w:rsid w:val="33C4577A"/>
    <w:rsid w:val="33CE7F29"/>
    <w:rsid w:val="33D97D42"/>
    <w:rsid w:val="33DC708B"/>
    <w:rsid w:val="33DD05A1"/>
    <w:rsid w:val="33E00B7E"/>
    <w:rsid w:val="33EA44A3"/>
    <w:rsid w:val="33EE0F34"/>
    <w:rsid w:val="33F905E0"/>
    <w:rsid w:val="34114486"/>
    <w:rsid w:val="3415269F"/>
    <w:rsid w:val="34152868"/>
    <w:rsid w:val="341E1C0A"/>
    <w:rsid w:val="341E4792"/>
    <w:rsid w:val="34254BA6"/>
    <w:rsid w:val="343B2136"/>
    <w:rsid w:val="344667E1"/>
    <w:rsid w:val="344F304F"/>
    <w:rsid w:val="345810E8"/>
    <w:rsid w:val="3467237B"/>
    <w:rsid w:val="347844E3"/>
    <w:rsid w:val="34825826"/>
    <w:rsid w:val="34857274"/>
    <w:rsid w:val="348670CA"/>
    <w:rsid w:val="34923725"/>
    <w:rsid w:val="34AE38FD"/>
    <w:rsid w:val="34B03D1A"/>
    <w:rsid w:val="34C702BB"/>
    <w:rsid w:val="34CA4CED"/>
    <w:rsid w:val="34CC0B7E"/>
    <w:rsid w:val="34D07B52"/>
    <w:rsid w:val="34DD6FF9"/>
    <w:rsid w:val="34F27F7D"/>
    <w:rsid w:val="34FB396D"/>
    <w:rsid w:val="350B2B94"/>
    <w:rsid w:val="351D2514"/>
    <w:rsid w:val="35204406"/>
    <w:rsid w:val="35227422"/>
    <w:rsid w:val="354C4A7A"/>
    <w:rsid w:val="35537EC9"/>
    <w:rsid w:val="35591657"/>
    <w:rsid w:val="35622AB3"/>
    <w:rsid w:val="356C6EA7"/>
    <w:rsid w:val="356E7B59"/>
    <w:rsid w:val="357C4109"/>
    <w:rsid w:val="358003C8"/>
    <w:rsid w:val="358762BB"/>
    <w:rsid w:val="358E0241"/>
    <w:rsid w:val="358F07D8"/>
    <w:rsid w:val="359A4E0D"/>
    <w:rsid w:val="35B00E49"/>
    <w:rsid w:val="35B45510"/>
    <w:rsid w:val="35BD4729"/>
    <w:rsid w:val="35CB1AB8"/>
    <w:rsid w:val="35D23B88"/>
    <w:rsid w:val="35E0628B"/>
    <w:rsid w:val="35E86479"/>
    <w:rsid w:val="36042CA6"/>
    <w:rsid w:val="360846AC"/>
    <w:rsid w:val="360B6406"/>
    <w:rsid w:val="360E1EC8"/>
    <w:rsid w:val="3616615F"/>
    <w:rsid w:val="36172D6F"/>
    <w:rsid w:val="362540E7"/>
    <w:rsid w:val="362A6807"/>
    <w:rsid w:val="362C5BE1"/>
    <w:rsid w:val="362D7775"/>
    <w:rsid w:val="362E74D7"/>
    <w:rsid w:val="36324E1D"/>
    <w:rsid w:val="364652FA"/>
    <w:rsid w:val="364C2117"/>
    <w:rsid w:val="36556086"/>
    <w:rsid w:val="366C21F0"/>
    <w:rsid w:val="366E1B35"/>
    <w:rsid w:val="367708BF"/>
    <w:rsid w:val="36834D0C"/>
    <w:rsid w:val="368D0CD7"/>
    <w:rsid w:val="36996C2D"/>
    <w:rsid w:val="36A15C3C"/>
    <w:rsid w:val="36A96A59"/>
    <w:rsid w:val="36AD2CF9"/>
    <w:rsid w:val="36AF68F0"/>
    <w:rsid w:val="36B635B8"/>
    <w:rsid w:val="36BD23D1"/>
    <w:rsid w:val="36BE5572"/>
    <w:rsid w:val="36D8703D"/>
    <w:rsid w:val="36DD6CF6"/>
    <w:rsid w:val="36E00AD5"/>
    <w:rsid w:val="36E74830"/>
    <w:rsid w:val="36ED5372"/>
    <w:rsid w:val="36F92CCC"/>
    <w:rsid w:val="36FA5864"/>
    <w:rsid w:val="37020FA5"/>
    <w:rsid w:val="37044B26"/>
    <w:rsid w:val="370C6591"/>
    <w:rsid w:val="371019A7"/>
    <w:rsid w:val="37213CAA"/>
    <w:rsid w:val="37234825"/>
    <w:rsid w:val="372A3E36"/>
    <w:rsid w:val="37413F36"/>
    <w:rsid w:val="374753B9"/>
    <w:rsid w:val="374A0E79"/>
    <w:rsid w:val="374B0B27"/>
    <w:rsid w:val="3768539C"/>
    <w:rsid w:val="376E4508"/>
    <w:rsid w:val="37732D54"/>
    <w:rsid w:val="377F6FDB"/>
    <w:rsid w:val="37821CBD"/>
    <w:rsid w:val="379B120A"/>
    <w:rsid w:val="379F6235"/>
    <w:rsid w:val="37A10534"/>
    <w:rsid w:val="37A13658"/>
    <w:rsid w:val="37A91E07"/>
    <w:rsid w:val="37AD4969"/>
    <w:rsid w:val="37C17D88"/>
    <w:rsid w:val="37D17A16"/>
    <w:rsid w:val="37DE3475"/>
    <w:rsid w:val="37E40047"/>
    <w:rsid w:val="37F16936"/>
    <w:rsid w:val="38046457"/>
    <w:rsid w:val="380717AB"/>
    <w:rsid w:val="38094DFB"/>
    <w:rsid w:val="382468E9"/>
    <w:rsid w:val="3831126E"/>
    <w:rsid w:val="383349BF"/>
    <w:rsid w:val="384368E8"/>
    <w:rsid w:val="384D71D4"/>
    <w:rsid w:val="38502864"/>
    <w:rsid w:val="385137C6"/>
    <w:rsid w:val="385151DB"/>
    <w:rsid w:val="38580AF4"/>
    <w:rsid w:val="38590F6F"/>
    <w:rsid w:val="385A17AC"/>
    <w:rsid w:val="386044C1"/>
    <w:rsid w:val="386143D7"/>
    <w:rsid w:val="386A2B3B"/>
    <w:rsid w:val="386D0B8E"/>
    <w:rsid w:val="388D3FFD"/>
    <w:rsid w:val="38973817"/>
    <w:rsid w:val="389A6E15"/>
    <w:rsid w:val="38A72367"/>
    <w:rsid w:val="38A75400"/>
    <w:rsid w:val="38A85BA4"/>
    <w:rsid w:val="38A94174"/>
    <w:rsid w:val="38AC0B93"/>
    <w:rsid w:val="38B049FB"/>
    <w:rsid w:val="38B47096"/>
    <w:rsid w:val="38CE01A8"/>
    <w:rsid w:val="38D068B4"/>
    <w:rsid w:val="38D5747A"/>
    <w:rsid w:val="38E505B8"/>
    <w:rsid w:val="38EC2412"/>
    <w:rsid w:val="38F221FF"/>
    <w:rsid w:val="38F91AD0"/>
    <w:rsid w:val="39103E53"/>
    <w:rsid w:val="3933359F"/>
    <w:rsid w:val="3949309C"/>
    <w:rsid w:val="394942C1"/>
    <w:rsid w:val="39646CA2"/>
    <w:rsid w:val="39654AB6"/>
    <w:rsid w:val="396708AF"/>
    <w:rsid w:val="396F20CF"/>
    <w:rsid w:val="39705F11"/>
    <w:rsid w:val="39730A7A"/>
    <w:rsid w:val="397554AD"/>
    <w:rsid w:val="397F7D2F"/>
    <w:rsid w:val="398B77C1"/>
    <w:rsid w:val="39962808"/>
    <w:rsid w:val="399A5562"/>
    <w:rsid w:val="399C2829"/>
    <w:rsid w:val="39A6356F"/>
    <w:rsid w:val="39A9297A"/>
    <w:rsid w:val="39AD2B03"/>
    <w:rsid w:val="39BD09D6"/>
    <w:rsid w:val="39BD4DFD"/>
    <w:rsid w:val="39BE31E4"/>
    <w:rsid w:val="39BF5E71"/>
    <w:rsid w:val="39C13FBA"/>
    <w:rsid w:val="39C35DBB"/>
    <w:rsid w:val="39CE3304"/>
    <w:rsid w:val="39D10668"/>
    <w:rsid w:val="39D52B70"/>
    <w:rsid w:val="39E925FF"/>
    <w:rsid w:val="39EF3166"/>
    <w:rsid w:val="39F075B8"/>
    <w:rsid w:val="39F16A4F"/>
    <w:rsid w:val="39FA1785"/>
    <w:rsid w:val="39FC425B"/>
    <w:rsid w:val="39FF50A6"/>
    <w:rsid w:val="3A015632"/>
    <w:rsid w:val="3A04253E"/>
    <w:rsid w:val="3A097EF9"/>
    <w:rsid w:val="3A1A63E6"/>
    <w:rsid w:val="3A1E568F"/>
    <w:rsid w:val="3A2774CF"/>
    <w:rsid w:val="3A2E23CD"/>
    <w:rsid w:val="3A35041A"/>
    <w:rsid w:val="3A3B2EF3"/>
    <w:rsid w:val="3A587BB9"/>
    <w:rsid w:val="3A6177D2"/>
    <w:rsid w:val="3A65703F"/>
    <w:rsid w:val="3A6C61DF"/>
    <w:rsid w:val="3A6F5520"/>
    <w:rsid w:val="3A7010A8"/>
    <w:rsid w:val="3A75725E"/>
    <w:rsid w:val="3A8557F9"/>
    <w:rsid w:val="3A867050"/>
    <w:rsid w:val="3ACE3891"/>
    <w:rsid w:val="3AD07B3E"/>
    <w:rsid w:val="3AD259F7"/>
    <w:rsid w:val="3ADD3C2B"/>
    <w:rsid w:val="3ADE0265"/>
    <w:rsid w:val="3AE93AEC"/>
    <w:rsid w:val="3AF62CE8"/>
    <w:rsid w:val="3AF806C0"/>
    <w:rsid w:val="3B06334C"/>
    <w:rsid w:val="3B063DF5"/>
    <w:rsid w:val="3B111E0F"/>
    <w:rsid w:val="3B1F0804"/>
    <w:rsid w:val="3B2274EF"/>
    <w:rsid w:val="3B28706E"/>
    <w:rsid w:val="3B2E224B"/>
    <w:rsid w:val="3B3C62D2"/>
    <w:rsid w:val="3B494F30"/>
    <w:rsid w:val="3B5638A4"/>
    <w:rsid w:val="3B5C1FD0"/>
    <w:rsid w:val="3B6C4DA6"/>
    <w:rsid w:val="3B78514B"/>
    <w:rsid w:val="3B7D3E2B"/>
    <w:rsid w:val="3B7D68CF"/>
    <w:rsid w:val="3B8C0635"/>
    <w:rsid w:val="3B8D5F9D"/>
    <w:rsid w:val="3BB24A14"/>
    <w:rsid w:val="3BB444FF"/>
    <w:rsid w:val="3BC61CE5"/>
    <w:rsid w:val="3BCB0154"/>
    <w:rsid w:val="3BCD20CE"/>
    <w:rsid w:val="3BCE4C1C"/>
    <w:rsid w:val="3BD627B7"/>
    <w:rsid w:val="3BD95EE9"/>
    <w:rsid w:val="3BDF258B"/>
    <w:rsid w:val="3BE70D81"/>
    <w:rsid w:val="3BF07E9C"/>
    <w:rsid w:val="3BFC7AC2"/>
    <w:rsid w:val="3BFF2FCB"/>
    <w:rsid w:val="3C0434A6"/>
    <w:rsid w:val="3C044B06"/>
    <w:rsid w:val="3C102FF3"/>
    <w:rsid w:val="3C107151"/>
    <w:rsid w:val="3C15752E"/>
    <w:rsid w:val="3C1D261F"/>
    <w:rsid w:val="3C2E1728"/>
    <w:rsid w:val="3C3347AD"/>
    <w:rsid w:val="3C357513"/>
    <w:rsid w:val="3C3D3BD6"/>
    <w:rsid w:val="3C4624C5"/>
    <w:rsid w:val="3C47244B"/>
    <w:rsid w:val="3C486E6E"/>
    <w:rsid w:val="3C577295"/>
    <w:rsid w:val="3C577C1E"/>
    <w:rsid w:val="3C5A71F7"/>
    <w:rsid w:val="3C5B2E0C"/>
    <w:rsid w:val="3C6A08E6"/>
    <w:rsid w:val="3C722233"/>
    <w:rsid w:val="3C793784"/>
    <w:rsid w:val="3C832519"/>
    <w:rsid w:val="3C92503D"/>
    <w:rsid w:val="3CA84DC0"/>
    <w:rsid w:val="3CAC67C1"/>
    <w:rsid w:val="3CAE2B8D"/>
    <w:rsid w:val="3CB43519"/>
    <w:rsid w:val="3CB468FE"/>
    <w:rsid w:val="3CB50582"/>
    <w:rsid w:val="3CB5629B"/>
    <w:rsid w:val="3CB70E78"/>
    <w:rsid w:val="3CB74166"/>
    <w:rsid w:val="3CC10853"/>
    <w:rsid w:val="3CCA1B41"/>
    <w:rsid w:val="3CCC0C99"/>
    <w:rsid w:val="3CDD65E5"/>
    <w:rsid w:val="3CEA0D59"/>
    <w:rsid w:val="3CFE29DB"/>
    <w:rsid w:val="3D0332EA"/>
    <w:rsid w:val="3D064878"/>
    <w:rsid w:val="3D076AC3"/>
    <w:rsid w:val="3D0D0984"/>
    <w:rsid w:val="3D1C7714"/>
    <w:rsid w:val="3D2322B3"/>
    <w:rsid w:val="3D28000E"/>
    <w:rsid w:val="3D3B16EB"/>
    <w:rsid w:val="3D4C3823"/>
    <w:rsid w:val="3D5111A5"/>
    <w:rsid w:val="3D5214C1"/>
    <w:rsid w:val="3D5C1BBB"/>
    <w:rsid w:val="3D6207EA"/>
    <w:rsid w:val="3D634829"/>
    <w:rsid w:val="3D746675"/>
    <w:rsid w:val="3D7952FD"/>
    <w:rsid w:val="3D835B0E"/>
    <w:rsid w:val="3D866890"/>
    <w:rsid w:val="3D8E7FFF"/>
    <w:rsid w:val="3D9D1D50"/>
    <w:rsid w:val="3DA8030E"/>
    <w:rsid w:val="3DB4533C"/>
    <w:rsid w:val="3DB57905"/>
    <w:rsid w:val="3DC3290B"/>
    <w:rsid w:val="3DC74BF1"/>
    <w:rsid w:val="3DCC0986"/>
    <w:rsid w:val="3DD925FC"/>
    <w:rsid w:val="3DE558EB"/>
    <w:rsid w:val="3DFA0875"/>
    <w:rsid w:val="3DFC029B"/>
    <w:rsid w:val="3DFE0F6A"/>
    <w:rsid w:val="3DFF0D7D"/>
    <w:rsid w:val="3E09541B"/>
    <w:rsid w:val="3E0E06EA"/>
    <w:rsid w:val="3E110EB4"/>
    <w:rsid w:val="3E171570"/>
    <w:rsid w:val="3E2B2695"/>
    <w:rsid w:val="3E3048A1"/>
    <w:rsid w:val="3E38775C"/>
    <w:rsid w:val="3E3E151A"/>
    <w:rsid w:val="3E3F7AED"/>
    <w:rsid w:val="3E56256C"/>
    <w:rsid w:val="3E581E45"/>
    <w:rsid w:val="3E5A0540"/>
    <w:rsid w:val="3E6353B0"/>
    <w:rsid w:val="3E6A0BC7"/>
    <w:rsid w:val="3E700D6C"/>
    <w:rsid w:val="3E713F35"/>
    <w:rsid w:val="3E772D0B"/>
    <w:rsid w:val="3E773F7A"/>
    <w:rsid w:val="3E786E6F"/>
    <w:rsid w:val="3E7B196B"/>
    <w:rsid w:val="3E881839"/>
    <w:rsid w:val="3E89260E"/>
    <w:rsid w:val="3E8E757A"/>
    <w:rsid w:val="3E916001"/>
    <w:rsid w:val="3EA102A5"/>
    <w:rsid w:val="3EA22C97"/>
    <w:rsid w:val="3EAA7B47"/>
    <w:rsid w:val="3EAD0748"/>
    <w:rsid w:val="3EB423C6"/>
    <w:rsid w:val="3EBB2A69"/>
    <w:rsid w:val="3EBB6977"/>
    <w:rsid w:val="3EBD0BF5"/>
    <w:rsid w:val="3EC23E38"/>
    <w:rsid w:val="3EC576D5"/>
    <w:rsid w:val="3ECE7553"/>
    <w:rsid w:val="3ECF1293"/>
    <w:rsid w:val="3ED32CD1"/>
    <w:rsid w:val="3ED74E77"/>
    <w:rsid w:val="3ED8550A"/>
    <w:rsid w:val="3EE04D0E"/>
    <w:rsid w:val="3EE16130"/>
    <w:rsid w:val="3EE1732E"/>
    <w:rsid w:val="3EEC07B5"/>
    <w:rsid w:val="3EEC65BE"/>
    <w:rsid w:val="3F0A2BE0"/>
    <w:rsid w:val="3F0B0140"/>
    <w:rsid w:val="3F0C45CB"/>
    <w:rsid w:val="3F0E2C09"/>
    <w:rsid w:val="3F153399"/>
    <w:rsid w:val="3F1A7F06"/>
    <w:rsid w:val="3F285EAA"/>
    <w:rsid w:val="3F2D32DC"/>
    <w:rsid w:val="3F303AF5"/>
    <w:rsid w:val="3F44713C"/>
    <w:rsid w:val="3F4A6537"/>
    <w:rsid w:val="3F4F3039"/>
    <w:rsid w:val="3F4F3CE5"/>
    <w:rsid w:val="3F64372A"/>
    <w:rsid w:val="3F6A60F7"/>
    <w:rsid w:val="3F6C58F6"/>
    <w:rsid w:val="3F831D7B"/>
    <w:rsid w:val="3F877BE2"/>
    <w:rsid w:val="3F8F4549"/>
    <w:rsid w:val="3F92148D"/>
    <w:rsid w:val="3FA21C2E"/>
    <w:rsid w:val="3FA661E7"/>
    <w:rsid w:val="3FB24641"/>
    <w:rsid w:val="3FB81844"/>
    <w:rsid w:val="3FB95CAB"/>
    <w:rsid w:val="3FD151FF"/>
    <w:rsid w:val="3FD217C5"/>
    <w:rsid w:val="3FD5124D"/>
    <w:rsid w:val="3FDB597C"/>
    <w:rsid w:val="3FE54B56"/>
    <w:rsid w:val="3FE8358C"/>
    <w:rsid w:val="3FEA5B61"/>
    <w:rsid w:val="3FF80C56"/>
    <w:rsid w:val="3FFD0A50"/>
    <w:rsid w:val="40026826"/>
    <w:rsid w:val="400C24AB"/>
    <w:rsid w:val="40181B75"/>
    <w:rsid w:val="40183EC7"/>
    <w:rsid w:val="401846C4"/>
    <w:rsid w:val="401A5E34"/>
    <w:rsid w:val="40213BD3"/>
    <w:rsid w:val="402223A2"/>
    <w:rsid w:val="40226BE9"/>
    <w:rsid w:val="403071A3"/>
    <w:rsid w:val="40383045"/>
    <w:rsid w:val="403C00DF"/>
    <w:rsid w:val="40403DE7"/>
    <w:rsid w:val="40446C77"/>
    <w:rsid w:val="40462682"/>
    <w:rsid w:val="40535C85"/>
    <w:rsid w:val="40585F5D"/>
    <w:rsid w:val="405A56C5"/>
    <w:rsid w:val="40603530"/>
    <w:rsid w:val="406A4F4F"/>
    <w:rsid w:val="406E0001"/>
    <w:rsid w:val="40745B6A"/>
    <w:rsid w:val="4080404D"/>
    <w:rsid w:val="40850041"/>
    <w:rsid w:val="40876DDE"/>
    <w:rsid w:val="408C2857"/>
    <w:rsid w:val="40923913"/>
    <w:rsid w:val="40954896"/>
    <w:rsid w:val="409B644B"/>
    <w:rsid w:val="40AB59DD"/>
    <w:rsid w:val="40AB772A"/>
    <w:rsid w:val="40AF6FF1"/>
    <w:rsid w:val="40B21AC1"/>
    <w:rsid w:val="40B57032"/>
    <w:rsid w:val="40B71EB6"/>
    <w:rsid w:val="40B90AA9"/>
    <w:rsid w:val="40BB2022"/>
    <w:rsid w:val="40C957AE"/>
    <w:rsid w:val="40CD1F7A"/>
    <w:rsid w:val="40CD337C"/>
    <w:rsid w:val="40D2477A"/>
    <w:rsid w:val="40D552C2"/>
    <w:rsid w:val="40D84DCF"/>
    <w:rsid w:val="40E1036A"/>
    <w:rsid w:val="40F61B3E"/>
    <w:rsid w:val="41003D07"/>
    <w:rsid w:val="410124F6"/>
    <w:rsid w:val="41013F38"/>
    <w:rsid w:val="41051604"/>
    <w:rsid w:val="410F3EA7"/>
    <w:rsid w:val="4111521E"/>
    <w:rsid w:val="4118501D"/>
    <w:rsid w:val="411C5317"/>
    <w:rsid w:val="411F40E9"/>
    <w:rsid w:val="412E6C2C"/>
    <w:rsid w:val="41323B9D"/>
    <w:rsid w:val="41342C44"/>
    <w:rsid w:val="413430BB"/>
    <w:rsid w:val="4138064C"/>
    <w:rsid w:val="41382472"/>
    <w:rsid w:val="41681985"/>
    <w:rsid w:val="41753B6D"/>
    <w:rsid w:val="417A42DB"/>
    <w:rsid w:val="418A031A"/>
    <w:rsid w:val="419511C4"/>
    <w:rsid w:val="41955CD7"/>
    <w:rsid w:val="419903C6"/>
    <w:rsid w:val="419A463E"/>
    <w:rsid w:val="419E7A9D"/>
    <w:rsid w:val="41A776E4"/>
    <w:rsid w:val="41CF6CF0"/>
    <w:rsid w:val="41D12B17"/>
    <w:rsid w:val="41D33BBD"/>
    <w:rsid w:val="41D76A0A"/>
    <w:rsid w:val="41DC6779"/>
    <w:rsid w:val="41E735F8"/>
    <w:rsid w:val="41EC6B2F"/>
    <w:rsid w:val="41EF2342"/>
    <w:rsid w:val="421756DA"/>
    <w:rsid w:val="421D55C8"/>
    <w:rsid w:val="422E3423"/>
    <w:rsid w:val="4234168E"/>
    <w:rsid w:val="423E118E"/>
    <w:rsid w:val="42436D33"/>
    <w:rsid w:val="425866A9"/>
    <w:rsid w:val="42605008"/>
    <w:rsid w:val="42661969"/>
    <w:rsid w:val="426A572B"/>
    <w:rsid w:val="42842F64"/>
    <w:rsid w:val="428D691B"/>
    <w:rsid w:val="42925048"/>
    <w:rsid w:val="42970C2D"/>
    <w:rsid w:val="42982E67"/>
    <w:rsid w:val="42A36888"/>
    <w:rsid w:val="42A82D04"/>
    <w:rsid w:val="42B37B50"/>
    <w:rsid w:val="42DB2A84"/>
    <w:rsid w:val="42DD6636"/>
    <w:rsid w:val="42DD7EB3"/>
    <w:rsid w:val="42EF4331"/>
    <w:rsid w:val="42F471E5"/>
    <w:rsid w:val="42FF57C4"/>
    <w:rsid w:val="43044E66"/>
    <w:rsid w:val="43055837"/>
    <w:rsid w:val="43070AC6"/>
    <w:rsid w:val="430816F2"/>
    <w:rsid w:val="434937C2"/>
    <w:rsid w:val="43497A0E"/>
    <w:rsid w:val="434C6A82"/>
    <w:rsid w:val="43506A31"/>
    <w:rsid w:val="435F030E"/>
    <w:rsid w:val="437532E6"/>
    <w:rsid w:val="4382115E"/>
    <w:rsid w:val="438807F6"/>
    <w:rsid w:val="439F3DA2"/>
    <w:rsid w:val="43A94F84"/>
    <w:rsid w:val="43AC3243"/>
    <w:rsid w:val="43B170A4"/>
    <w:rsid w:val="43BA00A6"/>
    <w:rsid w:val="43C1695E"/>
    <w:rsid w:val="43C51442"/>
    <w:rsid w:val="43D41EA9"/>
    <w:rsid w:val="43D93249"/>
    <w:rsid w:val="43DA0B8E"/>
    <w:rsid w:val="43DA3FB0"/>
    <w:rsid w:val="43DC36FF"/>
    <w:rsid w:val="43E42152"/>
    <w:rsid w:val="43FA5BF5"/>
    <w:rsid w:val="4401332D"/>
    <w:rsid w:val="44084305"/>
    <w:rsid w:val="440D10D0"/>
    <w:rsid w:val="441170AC"/>
    <w:rsid w:val="44125C0D"/>
    <w:rsid w:val="44152093"/>
    <w:rsid w:val="441A4866"/>
    <w:rsid w:val="441D05D4"/>
    <w:rsid w:val="441D3CAF"/>
    <w:rsid w:val="44265EB9"/>
    <w:rsid w:val="442B150E"/>
    <w:rsid w:val="4437087E"/>
    <w:rsid w:val="443C4F14"/>
    <w:rsid w:val="44420785"/>
    <w:rsid w:val="444C4175"/>
    <w:rsid w:val="444F5EF4"/>
    <w:rsid w:val="44514D71"/>
    <w:rsid w:val="44583074"/>
    <w:rsid w:val="445C4769"/>
    <w:rsid w:val="446426A7"/>
    <w:rsid w:val="44654809"/>
    <w:rsid w:val="446A4FBB"/>
    <w:rsid w:val="446D45B9"/>
    <w:rsid w:val="447E4BFA"/>
    <w:rsid w:val="44882ADA"/>
    <w:rsid w:val="44B026B2"/>
    <w:rsid w:val="44B57CA0"/>
    <w:rsid w:val="44B907BD"/>
    <w:rsid w:val="44B9549A"/>
    <w:rsid w:val="44BF0A8E"/>
    <w:rsid w:val="44BF738B"/>
    <w:rsid w:val="44C64E62"/>
    <w:rsid w:val="44CC232D"/>
    <w:rsid w:val="44E015D4"/>
    <w:rsid w:val="44E20794"/>
    <w:rsid w:val="44E55AA4"/>
    <w:rsid w:val="44E854F0"/>
    <w:rsid w:val="44ED0A0A"/>
    <w:rsid w:val="44F66F6F"/>
    <w:rsid w:val="44FB0E5C"/>
    <w:rsid w:val="44FF67D0"/>
    <w:rsid w:val="450760EC"/>
    <w:rsid w:val="450B17A7"/>
    <w:rsid w:val="451007EA"/>
    <w:rsid w:val="451E29CE"/>
    <w:rsid w:val="45252376"/>
    <w:rsid w:val="45271BA3"/>
    <w:rsid w:val="45292625"/>
    <w:rsid w:val="452E4EC0"/>
    <w:rsid w:val="453203C8"/>
    <w:rsid w:val="453359D3"/>
    <w:rsid w:val="453A5C55"/>
    <w:rsid w:val="454266C9"/>
    <w:rsid w:val="454D5662"/>
    <w:rsid w:val="454E7BC1"/>
    <w:rsid w:val="455F001B"/>
    <w:rsid w:val="457045E0"/>
    <w:rsid w:val="45725B3B"/>
    <w:rsid w:val="45730381"/>
    <w:rsid w:val="457F7EA4"/>
    <w:rsid w:val="459773FD"/>
    <w:rsid w:val="45993753"/>
    <w:rsid w:val="459C4A24"/>
    <w:rsid w:val="45A10058"/>
    <w:rsid w:val="45BA61BA"/>
    <w:rsid w:val="45CD3BA0"/>
    <w:rsid w:val="45CD3E24"/>
    <w:rsid w:val="45D26AFA"/>
    <w:rsid w:val="45D63F11"/>
    <w:rsid w:val="45D97016"/>
    <w:rsid w:val="45E3301B"/>
    <w:rsid w:val="45E90878"/>
    <w:rsid w:val="45E93794"/>
    <w:rsid w:val="45EB0531"/>
    <w:rsid w:val="45EC62E8"/>
    <w:rsid w:val="45F21C02"/>
    <w:rsid w:val="45FD267C"/>
    <w:rsid w:val="46054D2E"/>
    <w:rsid w:val="460A56B0"/>
    <w:rsid w:val="460D152C"/>
    <w:rsid w:val="460D7A33"/>
    <w:rsid w:val="46253A11"/>
    <w:rsid w:val="46434A21"/>
    <w:rsid w:val="464D772F"/>
    <w:rsid w:val="465B7D25"/>
    <w:rsid w:val="46603CEF"/>
    <w:rsid w:val="4676380E"/>
    <w:rsid w:val="468632E5"/>
    <w:rsid w:val="46897F71"/>
    <w:rsid w:val="46941272"/>
    <w:rsid w:val="46A06E83"/>
    <w:rsid w:val="46AC74FE"/>
    <w:rsid w:val="46AE15E5"/>
    <w:rsid w:val="46B16F6C"/>
    <w:rsid w:val="46B23A11"/>
    <w:rsid w:val="46B60F44"/>
    <w:rsid w:val="46C659FB"/>
    <w:rsid w:val="46D5171B"/>
    <w:rsid w:val="46E066E3"/>
    <w:rsid w:val="46E22CCD"/>
    <w:rsid w:val="46EC62D6"/>
    <w:rsid w:val="46F0044C"/>
    <w:rsid w:val="46F062CF"/>
    <w:rsid w:val="46F24862"/>
    <w:rsid w:val="46FC17E1"/>
    <w:rsid w:val="47010910"/>
    <w:rsid w:val="47073D1A"/>
    <w:rsid w:val="47090190"/>
    <w:rsid w:val="470A371D"/>
    <w:rsid w:val="470A7AA4"/>
    <w:rsid w:val="471943A0"/>
    <w:rsid w:val="471E4487"/>
    <w:rsid w:val="47250720"/>
    <w:rsid w:val="472B69A0"/>
    <w:rsid w:val="47366434"/>
    <w:rsid w:val="473C3CEE"/>
    <w:rsid w:val="474449BA"/>
    <w:rsid w:val="47446E56"/>
    <w:rsid w:val="475D4A67"/>
    <w:rsid w:val="47697D98"/>
    <w:rsid w:val="47717AA4"/>
    <w:rsid w:val="47734BA6"/>
    <w:rsid w:val="477614BA"/>
    <w:rsid w:val="47765A50"/>
    <w:rsid w:val="477B1F6D"/>
    <w:rsid w:val="477E4FB9"/>
    <w:rsid w:val="47965C4E"/>
    <w:rsid w:val="47991E0A"/>
    <w:rsid w:val="47993B18"/>
    <w:rsid w:val="479C4F2F"/>
    <w:rsid w:val="479F5F86"/>
    <w:rsid w:val="47A01969"/>
    <w:rsid w:val="47A2288E"/>
    <w:rsid w:val="47A63013"/>
    <w:rsid w:val="47AC370A"/>
    <w:rsid w:val="47B40718"/>
    <w:rsid w:val="47BD1A3E"/>
    <w:rsid w:val="47C9732E"/>
    <w:rsid w:val="47C97F2F"/>
    <w:rsid w:val="47D4754C"/>
    <w:rsid w:val="47DD5AC0"/>
    <w:rsid w:val="47DF55AC"/>
    <w:rsid w:val="47EB75B2"/>
    <w:rsid w:val="47EF0EFC"/>
    <w:rsid w:val="47F35531"/>
    <w:rsid w:val="47FD6676"/>
    <w:rsid w:val="48036388"/>
    <w:rsid w:val="480827A1"/>
    <w:rsid w:val="480E3753"/>
    <w:rsid w:val="48156C88"/>
    <w:rsid w:val="482A32C2"/>
    <w:rsid w:val="482C07A5"/>
    <w:rsid w:val="48332E0D"/>
    <w:rsid w:val="483C3CFE"/>
    <w:rsid w:val="483E7A6E"/>
    <w:rsid w:val="48447CF9"/>
    <w:rsid w:val="48463AE1"/>
    <w:rsid w:val="484E65ED"/>
    <w:rsid w:val="484F6449"/>
    <w:rsid w:val="486D0DBA"/>
    <w:rsid w:val="487907FA"/>
    <w:rsid w:val="48817F4A"/>
    <w:rsid w:val="488265B7"/>
    <w:rsid w:val="48834F55"/>
    <w:rsid w:val="48835DCA"/>
    <w:rsid w:val="48850867"/>
    <w:rsid w:val="488C6CA4"/>
    <w:rsid w:val="489061DE"/>
    <w:rsid w:val="48A04C27"/>
    <w:rsid w:val="48A61CDE"/>
    <w:rsid w:val="48AD1A5F"/>
    <w:rsid w:val="48B23C15"/>
    <w:rsid w:val="48B537D8"/>
    <w:rsid w:val="48BB0BD4"/>
    <w:rsid w:val="48BC2EEA"/>
    <w:rsid w:val="48C001FE"/>
    <w:rsid w:val="48C74B7F"/>
    <w:rsid w:val="48C87893"/>
    <w:rsid w:val="48D46B22"/>
    <w:rsid w:val="48F33B39"/>
    <w:rsid w:val="48F355C3"/>
    <w:rsid w:val="48F657D6"/>
    <w:rsid w:val="48FE39F3"/>
    <w:rsid w:val="48FF0A32"/>
    <w:rsid w:val="4901509F"/>
    <w:rsid w:val="49071066"/>
    <w:rsid w:val="49077824"/>
    <w:rsid w:val="4909023A"/>
    <w:rsid w:val="49160A01"/>
    <w:rsid w:val="49193D56"/>
    <w:rsid w:val="491D17EC"/>
    <w:rsid w:val="492024B1"/>
    <w:rsid w:val="4925492C"/>
    <w:rsid w:val="492C473D"/>
    <w:rsid w:val="49432CAC"/>
    <w:rsid w:val="49435124"/>
    <w:rsid w:val="49456A16"/>
    <w:rsid w:val="49497C66"/>
    <w:rsid w:val="49521339"/>
    <w:rsid w:val="4953165D"/>
    <w:rsid w:val="49570B95"/>
    <w:rsid w:val="49612E73"/>
    <w:rsid w:val="49836BC1"/>
    <w:rsid w:val="498C41AF"/>
    <w:rsid w:val="49972F77"/>
    <w:rsid w:val="4998174D"/>
    <w:rsid w:val="49B06996"/>
    <w:rsid w:val="49B21340"/>
    <w:rsid w:val="49BF65BF"/>
    <w:rsid w:val="49C41D5C"/>
    <w:rsid w:val="49C94217"/>
    <w:rsid w:val="49D3208E"/>
    <w:rsid w:val="49D61829"/>
    <w:rsid w:val="49D64ACC"/>
    <w:rsid w:val="49D750DF"/>
    <w:rsid w:val="49DB368C"/>
    <w:rsid w:val="49E215EB"/>
    <w:rsid w:val="49E72DEB"/>
    <w:rsid w:val="49ED08B7"/>
    <w:rsid w:val="49F37E13"/>
    <w:rsid w:val="4A0B5D79"/>
    <w:rsid w:val="4A0D31DD"/>
    <w:rsid w:val="4A11329F"/>
    <w:rsid w:val="4A141663"/>
    <w:rsid w:val="4A14526E"/>
    <w:rsid w:val="4A2414F9"/>
    <w:rsid w:val="4A24421A"/>
    <w:rsid w:val="4A355476"/>
    <w:rsid w:val="4A3664A9"/>
    <w:rsid w:val="4A464BBC"/>
    <w:rsid w:val="4A4B65B3"/>
    <w:rsid w:val="4A4C2998"/>
    <w:rsid w:val="4A5221D3"/>
    <w:rsid w:val="4A55436E"/>
    <w:rsid w:val="4A602998"/>
    <w:rsid w:val="4A6F77FB"/>
    <w:rsid w:val="4A734779"/>
    <w:rsid w:val="4A7B42E6"/>
    <w:rsid w:val="4A820B2D"/>
    <w:rsid w:val="4A8A0545"/>
    <w:rsid w:val="4A9D5B39"/>
    <w:rsid w:val="4AA70FD4"/>
    <w:rsid w:val="4AA83375"/>
    <w:rsid w:val="4AAB0C77"/>
    <w:rsid w:val="4AAC11FF"/>
    <w:rsid w:val="4AAD0C7E"/>
    <w:rsid w:val="4AAD1D7B"/>
    <w:rsid w:val="4AB54120"/>
    <w:rsid w:val="4ABB2C36"/>
    <w:rsid w:val="4ABD424A"/>
    <w:rsid w:val="4AC74B91"/>
    <w:rsid w:val="4AC92344"/>
    <w:rsid w:val="4ACA67F4"/>
    <w:rsid w:val="4AD0782B"/>
    <w:rsid w:val="4AD43401"/>
    <w:rsid w:val="4AD94A2D"/>
    <w:rsid w:val="4AD94C64"/>
    <w:rsid w:val="4ADC6D7E"/>
    <w:rsid w:val="4AE6523F"/>
    <w:rsid w:val="4AFE5627"/>
    <w:rsid w:val="4B041203"/>
    <w:rsid w:val="4B0558B5"/>
    <w:rsid w:val="4B070C76"/>
    <w:rsid w:val="4B0E78DE"/>
    <w:rsid w:val="4B142082"/>
    <w:rsid w:val="4B18619C"/>
    <w:rsid w:val="4B3473BD"/>
    <w:rsid w:val="4B643136"/>
    <w:rsid w:val="4B73321D"/>
    <w:rsid w:val="4B7A251B"/>
    <w:rsid w:val="4B7D56BD"/>
    <w:rsid w:val="4B7E13AA"/>
    <w:rsid w:val="4B7E349C"/>
    <w:rsid w:val="4B8E3990"/>
    <w:rsid w:val="4B967BC9"/>
    <w:rsid w:val="4B976126"/>
    <w:rsid w:val="4B983963"/>
    <w:rsid w:val="4BB467BB"/>
    <w:rsid w:val="4BB74A96"/>
    <w:rsid w:val="4BB8361F"/>
    <w:rsid w:val="4BC15E2A"/>
    <w:rsid w:val="4BCA6008"/>
    <w:rsid w:val="4BCB614A"/>
    <w:rsid w:val="4BCD7805"/>
    <w:rsid w:val="4BD16F2A"/>
    <w:rsid w:val="4BD76FB1"/>
    <w:rsid w:val="4BDC6C47"/>
    <w:rsid w:val="4BDE4A7D"/>
    <w:rsid w:val="4BE639E6"/>
    <w:rsid w:val="4BED3304"/>
    <w:rsid w:val="4C003D93"/>
    <w:rsid w:val="4C0717E9"/>
    <w:rsid w:val="4C0D5D3C"/>
    <w:rsid w:val="4C1414A0"/>
    <w:rsid w:val="4C206B67"/>
    <w:rsid w:val="4C27200A"/>
    <w:rsid w:val="4C287FD9"/>
    <w:rsid w:val="4C331B9F"/>
    <w:rsid w:val="4C35244E"/>
    <w:rsid w:val="4C362A8C"/>
    <w:rsid w:val="4C3A4E8F"/>
    <w:rsid w:val="4C3F52C7"/>
    <w:rsid w:val="4C58160E"/>
    <w:rsid w:val="4C670803"/>
    <w:rsid w:val="4C676670"/>
    <w:rsid w:val="4C6D78B5"/>
    <w:rsid w:val="4C7F0D78"/>
    <w:rsid w:val="4C7F73BD"/>
    <w:rsid w:val="4C843262"/>
    <w:rsid w:val="4C960FBA"/>
    <w:rsid w:val="4C9B6348"/>
    <w:rsid w:val="4C9F7A41"/>
    <w:rsid w:val="4CA24BBD"/>
    <w:rsid w:val="4CAC2BC4"/>
    <w:rsid w:val="4CB50EA9"/>
    <w:rsid w:val="4CB701EC"/>
    <w:rsid w:val="4CBB1F50"/>
    <w:rsid w:val="4CD579F2"/>
    <w:rsid w:val="4CE418B3"/>
    <w:rsid w:val="4D07567D"/>
    <w:rsid w:val="4D0A0497"/>
    <w:rsid w:val="4D1A0BF0"/>
    <w:rsid w:val="4D1E5EF6"/>
    <w:rsid w:val="4D2B15D1"/>
    <w:rsid w:val="4D3046B5"/>
    <w:rsid w:val="4D355E19"/>
    <w:rsid w:val="4D370616"/>
    <w:rsid w:val="4D391F06"/>
    <w:rsid w:val="4D43440E"/>
    <w:rsid w:val="4D4531B9"/>
    <w:rsid w:val="4D4B54A7"/>
    <w:rsid w:val="4D4B7064"/>
    <w:rsid w:val="4D581336"/>
    <w:rsid w:val="4D5F1915"/>
    <w:rsid w:val="4D64788C"/>
    <w:rsid w:val="4D7B2F7D"/>
    <w:rsid w:val="4D7F0C79"/>
    <w:rsid w:val="4D857898"/>
    <w:rsid w:val="4D8F7BF8"/>
    <w:rsid w:val="4D916A8E"/>
    <w:rsid w:val="4D98660E"/>
    <w:rsid w:val="4D9A4FE5"/>
    <w:rsid w:val="4D9D43E2"/>
    <w:rsid w:val="4DB70832"/>
    <w:rsid w:val="4DC91D54"/>
    <w:rsid w:val="4DD367DD"/>
    <w:rsid w:val="4DD766CA"/>
    <w:rsid w:val="4DF35607"/>
    <w:rsid w:val="4E1361F6"/>
    <w:rsid w:val="4E2425E6"/>
    <w:rsid w:val="4E255166"/>
    <w:rsid w:val="4E261847"/>
    <w:rsid w:val="4E412CA8"/>
    <w:rsid w:val="4E470C74"/>
    <w:rsid w:val="4E5C0183"/>
    <w:rsid w:val="4E6D29ED"/>
    <w:rsid w:val="4E742329"/>
    <w:rsid w:val="4E7513A6"/>
    <w:rsid w:val="4E7C094C"/>
    <w:rsid w:val="4E921CAD"/>
    <w:rsid w:val="4E966CFB"/>
    <w:rsid w:val="4E9C53D0"/>
    <w:rsid w:val="4EB94A09"/>
    <w:rsid w:val="4EBC3011"/>
    <w:rsid w:val="4EC83E4B"/>
    <w:rsid w:val="4EE05A35"/>
    <w:rsid w:val="4EE30FCC"/>
    <w:rsid w:val="4EE845E3"/>
    <w:rsid w:val="4EEE2271"/>
    <w:rsid w:val="4EEE6FED"/>
    <w:rsid w:val="4EF71A5A"/>
    <w:rsid w:val="4EFD2F30"/>
    <w:rsid w:val="4F13150A"/>
    <w:rsid w:val="4F1A2CA3"/>
    <w:rsid w:val="4F1A7436"/>
    <w:rsid w:val="4F1D5FA7"/>
    <w:rsid w:val="4F206DC4"/>
    <w:rsid w:val="4F33334F"/>
    <w:rsid w:val="4F367903"/>
    <w:rsid w:val="4F496795"/>
    <w:rsid w:val="4F4B1593"/>
    <w:rsid w:val="4F50033F"/>
    <w:rsid w:val="4F50259B"/>
    <w:rsid w:val="4F556342"/>
    <w:rsid w:val="4F583225"/>
    <w:rsid w:val="4F5D2B54"/>
    <w:rsid w:val="4F641B7A"/>
    <w:rsid w:val="4F6B134E"/>
    <w:rsid w:val="4F6C7D55"/>
    <w:rsid w:val="4F783425"/>
    <w:rsid w:val="4F7C07E1"/>
    <w:rsid w:val="4F7F48A4"/>
    <w:rsid w:val="4F8C0BFA"/>
    <w:rsid w:val="4F955C20"/>
    <w:rsid w:val="4FA16209"/>
    <w:rsid w:val="4FB9605F"/>
    <w:rsid w:val="4FC14C9F"/>
    <w:rsid w:val="4FC15935"/>
    <w:rsid w:val="4FC25E7F"/>
    <w:rsid w:val="4FC91C5B"/>
    <w:rsid w:val="4FD46CED"/>
    <w:rsid w:val="4FE308E1"/>
    <w:rsid w:val="4FE43A76"/>
    <w:rsid w:val="4FE821B9"/>
    <w:rsid w:val="4FE94012"/>
    <w:rsid w:val="4FEC23EE"/>
    <w:rsid w:val="4FF12F89"/>
    <w:rsid w:val="4FF32CE9"/>
    <w:rsid w:val="4FFD3103"/>
    <w:rsid w:val="4FFF52BB"/>
    <w:rsid w:val="50041511"/>
    <w:rsid w:val="5009357A"/>
    <w:rsid w:val="5012150D"/>
    <w:rsid w:val="501A32E5"/>
    <w:rsid w:val="501D60D1"/>
    <w:rsid w:val="502369B3"/>
    <w:rsid w:val="502A71C6"/>
    <w:rsid w:val="502F146C"/>
    <w:rsid w:val="5030326C"/>
    <w:rsid w:val="50304BA7"/>
    <w:rsid w:val="504025E8"/>
    <w:rsid w:val="5041328E"/>
    <w:rsid w:val="50424716"/>
    <w:rsid w:val="5043273B"/>
    <w:rsid w:val="50481E60"/>
    <w:rsid w:val="504D5396"/>
    <w:rsid w:val="504F3967"/>
    <w:rsid w:val="50524E05"/>
    <w:rsid w:val="50553F3A"/>
    <w:rsid w:val="506865EF"/>
    <w:rsid w:val="50696DBD"/>
    <w:rsid w:val="506D2A15"/>
    <w:rsid w:val="50710CC5"/>
    <w:rsid w:val="50760EA7"/>
    <w:rsid w:val="508365D7"/>
    <w:rsid w:val="508461B5"/>
    <w:rsid w:val="5086101D"/>
    <w:rsid w:val="50887990"/>
    <w:rsid w:val="50933021"/>
    <w:rsid w:val="5093449D"/>
    <w:rsid w:val="50AC530F"/>
    <w:rsid w:val="50B03532"/>
    <w:rsid w:val="50BB5AFF"/>
    <w:rsid w:val="50CD1CD1"/>
    <w:rsid w:val="50D46BAA"/>
    <w:rsid w:val="50D96D86"/>
    <w:rsid w:val="50DB7702"/>
    <w:rsid w:val="50E438FB"/>
    <w:rsid w:val="50F214FC"/>
    <w:rsid w:val="50F756A8"/>
    <w:rsid w:val="51060C09"/>
    <w:rsid w:val="51094D6A"/>
    <w:rsid w:val="511169B1"/>
    <w:rsid w:val="512859A1"/>
    <w:rsid w:val="512A38A8"/>
    <w:rsid w:val="512C7DBD"/>
    <w:rsid w:val="5137758A"/>
    <w:rsid w:val="514355A4"/>
    <w:rsid w:val="51442B0F"/>
    <w:rsid w:val="515E452F"/>
    <w:rsid w:val="51635FB4"/>
    <w:rsid w:val="516E619C"/>
    <w:rsid w:val="51775ECB"/>
    <w:rsid w:val="517B7E5E"/>
    <w:rsid w:val="51843296"/>
    <w:rsid w:val="518559CF"/>
    <w:rsid w:val="518629AD"/>
    <w:rsid w:val="518F7DF1"/>
    <w:rsid w:val="5191624E"/>
    <w:rsid w:val="519444E9"/>
    <w:rsid w:val="5198118D"/>
    <w:rsid w:val="51B10023"/>
    <w:rsid w:val="51B4108C"/>
    <w:rsid w:val="51B65003"/>
    <w:rsid w:val="51BC4797"/>
    <w:rsid w:val="51C20664"/>
    <w:rsid w:val="51D41A07"/>
    <w:rsid w:val="51E24820"/>
    <w:rsid w:val="51E553F5"/>
    <w:rsid w:val="51F01790"/>
    <w:rsid w:val="51F253AB"/>
    <w:rsid w:val="51F63AFC"/>
    <w:rsid w:val="51FD5612"/>
    <w:rsid w:val="520E5A05"/>
    <w:rsid w:val="52111642"/>
    <w:rsid w:val="5230392F"/>
    <w:rsid w:val="52314DA7"/>
    <w:rsid w:val="523334C0"/>
    <w:rsid w:val="5233756F"/>
    <w:rsid w:val="52372782"/>
    <w:rsid w:val="523A2B11"/>
    <w:rsid w:val="52492479"/>
    <w:rsid w:val="524A1D0C"/>
    <w:rsid w:val="52570F46"/>
    <w:rsid w:val="526077D3"/>
    <w:rsid w:val="526637AE"/>
    <w:rsid w:val="52721179"/>
    <w:rsid w:val="52836F91"/>
    <w:rsid w:val="52867E10"/>
    <w:rsid w:val="528F62BE"/>
    <w:rsid w:val="52931CD7"/>
    <w:rsid w:val="529B7A62"/>
    <w:rsid w:val="529F2A52"/>
    <w:rsid w:val="52A27701"/>
    <w:rsid w:val="52A80242"/>
    <w:rsid w:val="52AD3A43"/>
    <w:rsid w:val="52AE0A69"/>
    <w:rsid w:val="52AE4B0C"/>
    <w:rsid w:val="52BF16F8"/>
    <w:rsid w:val="52C75D7C"/>
    <w:rsid w:val="52C83500"/>
    <w:rsid w:val="52CB3906"/>
    <w:rsid w:val="52D64381"/>
    <w:rsid w:val="52E00FA2"/>
    <w:rsid w:val="531A3DBC"/>
    <w:rsid w:val="531D2DEE"/>
    <w:rsid w:val="532C0F62"/>
    <w:rsid w:val="532C70DD"/>
    <w:rsid w:val="532D4ACC"/>
    <w:rsid w:val="532D7D3B"/>
    <w:rsid w:val="53323148"/>
    <w:rsid w:val="536D2B9E"/>
    <w:rsid w:val="536D5BC8"/>
    <w:rsid w:val="53896006"/>
    <w:rsid w:val="538B2400"/>
    <w:rsid w:val="53900CFE"/>
    <w:rsid w:val="53937328"/>
    <w:rsid w:val="539576C7"/>
    <w:rsid w:val="53972BBC"/>
    <w:rsid w:val="53983C2D"/>
    <w:rsid w:val="539E25DA"/>
    <w:rsid w:val="53A72A35"/>
    <w:rsid w:val="53B3640F"/>
    <w:rsid w:val="53BF034C"/>
    <w:rsid w:val="53D9423C"/>
    <w:rsid w:val="53DB45A3"/>
    <w:rsid w:val="53DC663B"/>
    <w:rsid w:val="53DD5ABE"/>
    <w:rsid w:val="53DF4885"/>
    <w:rsid w:val="53E232EA"/>
    <w:rsid w:val="53E611A1"/>
    <w:rsid w:val="53EA38FF"/>
    <w:rsid w:val="53EB1341"/>
    <w:rsid w:val="53F67174"/>
    <w:rsid w:val="54070546"/>
    <w:rsid w:val="541244A2"/>
    <w:rsid w:val="541510F0"/>
    <w:rsid w:val="54182C43"/>
    <w:rsid w:val="54233AEF"/>
    <w:rsid w:val="54345033"/>
    <w:rsid w:val="5437315A"/>
    <w:rsid w:val="543E59D7"/>
    <w:rsid w:val="5447148B"/>
    <w:rsid w:val="544F5954"/>
    <w:rsid w:val="544F7716"/>
    <w:rsid w:val="54561A33"/>
    <w:rsid w:val="546617E1"/>
    <w:rsid w:val="54690155"/>
    <w:rsid w:val="546E6DBA"/>
    <w:rsid w:val="547336BE"/>
    <w:rsid w:val="548505F4"/>
    <w:rsid w:val="54876B7E"/>
    <w:rsid w:val="54884FCD"/>
    <w:rsid w:val="548C6684"/>
    <w:rsid w:val="548E0E1D"/>
    <w:rsid w:val="54A91F64"/>
    <w:rsid w:val="54A97DC8"/>
    <w:rsid w:val="54AA1F6D"/>
    <w:rsid w:val="54AE2A96"/>
    <w:rsid w:val="54AF26A7"/>
    <w:rsid w:val="54B056AE"/>
    <w:rsid w:val="54B32812"/>
    <w:rsid w:val="54B83A3B"/>
    <w:rsid w:val="54B976E1"/>
    <w:rsid w:val="54C06EEB"/>
    <w:rsid w:val="54C560AB"/>
    <w:rsid w:val="54D04B71"/>
    <w:rsid w:val="54D26455"/>
    <w:rsid w:val="54D6566C"/>
    <w:rsid w:val="54E12860"/>
    <w:rsid w:val="54EF4BAB"/>
    <w:rsid w:val="550C1695"/>
    <w:rsid w:val="550F7ADB"/>
    <w:rsid w:val="55117B2D"/>
    <w:rsid w:val="55153DCA"/>
    <w:rsid w:val="551C677B"/>
    <w:rsid w:val="552A2778"/>
    <w:rsid w:val="552D0DFC"/>
    <w:rsid w:val="553856FC"/>
    <w:rsid w:val="554E20D5"/>
    <w:rsid w:val="555F1534"/>
    <w:rsid w:val="556028B5"/>
    <w:rsid w:val="556248F3"/>
    <w:rsid w:val="556337F7"/>
    <w:rsid w:val="557757BB"/>
    <w:rsid w:val="557E63F0"/>
    <w:rsid w:val="557F064E"/>
    <w:rsid w:val="557F23D6"/>
    <w:rsid w:val="55886738"/>
    <w:rsid w:val="558A70C4"/>
    <w:rsid w:val="558D083B"/>
    <w:rsid w:val="55933E53"/>
    <w:rsid w:val="55955CAB"/>
    <w:rsid w:val="55977319"/>
    <w:rsid w:val="55A116C1"/>
    <w:rsid w:val="55A7509C"/>
    <w:rsid w:val="55A871AE"/>
    <w:rsid w:val="55AC407E"/>
    <w:rsid w:val="55B555EA"/>
    <w:rsid w:val="55BC3187"/>
    <w:rsid w:val="55C44A61"/>
    <w:rsid w:val="55C62523"/>
    <w:rsid w:val="55CE2402"/>
    <w:rsid w:val="55D674AC"/>
    <w:rsid w:val="55DA7AF6"/>
    <w:rsid w:val="55DE46F9"/>
    <w:rsid w:val="55E72261"/>
    <w:rsid w:val="55FA0292"/>
    <w:rsid w:val="560271BA"/>
    <w:rsid w:val="560F2DA0"/>
    <w:rsid w:val="56136DC2"/>
    <w:rsid w:val="56190707"/>
    <w:rsid w:val="5619286F"/>
    <w:rsid w:val="5636553A"/>
    <w:rsid w:val="56371A2E"/>
    <w:rsid w:val="56396D05"/>
    <w:rsid w:val="565E1E60"/>
    <w:rsid w:val="56605A0F"/>
    <w:rsid w:val="566340B1"/>
    <w:rsid w:val="56635E15"/>
    <w:rsid w:val="56640849"/>
    <w:rsid w:val="567301BD"/>
    <w:rsid w:val="56753763"/>
    <w:rsid w:val="567B0434"/>
    <w:rsid w:val="567D6642"/>
    <w:rsid w:val="568610BA"/>
    <w:rsid w:val="569E042E"/>
    <w:rsid w:val="569E3AA4"/>
    <w:rsid w:val="569F2E8A"/>
    <w:rsid w:val="56A11611"/>
    <w:rsid w:val="56A46240"/>
    <w:rsid w:val="56A8559B"/>
    <w:rsid w:val="56C20CA7"/>
    <w:rsid w:val="56C80318"/>
    <w:rsid w:val="56C84C3E"/>
    <w:rsid w:val="56DE6495"/>
    <w:rsid w:val="56F24391"/>
    <w:rsid w:val="56F2532C"/>
    <w:rsid w:val="56FB79A7"/>
    <w:rsid w:val="570D6442"/>
    <w:rsid w:val="57166609"/>
    <w:rsid w:val="5717356B"/>
    <w:rsid w:val="57246EAF"/>
    <w:rsid w:val="572A6FC6"/>
    <w:rsid w:val="572D7618"/>
    <w:rsid w:val="57336A04"/>
    <w:rsid w:val="57404360"/>
    <w:rsid w:val="574546ED"/>
    <w:rsid w:val="5745601C"/>
    <w:rsid w:val="57537095"/>
    <w:rsid w:val="575E3770"/>
    <w:rsid w:val="57617594"/>
    <w:rsid w:val="576B77B3"/>
    <w:rsid w:val="576D5BC8"/>
    <w:rsid w:val="57711078"/>
    <w:rsid w:val="577923E3"/>
    <w:rsid w:val="578C31E7"/>
    <w:rsid w:val="57926027"/>
    <w:rsid w:val="57A21A7E"/>
    <w:rsid w:val="57A94FF1"/>
    <w:rsid w:val="57B73CDB"/>
    <w:rsid w:val="57C06BED"/>
    <w:rsid w:val="57C71851"/>
    <w:rsid w:val="57C71BF4"/>
    <w:rsid w:val="57CD04A4"/>
    <w:rsid w:val="57D43840"/>
    <w:rsid w:val="57D66B03"/>
    <w:rsid w:val="57EA4EE5"/>
    <w:rsid w:val="57F30CDB"/>
    <w:rsid w:val="57FA13A5"/>
    <w:rsid w:val="58033286"/>
    <w:rsid w:val="58074A83"/>
    <w:rsid w:val="58105615"/>
    <w:rsid w:val="58116D28"/>
    <w:rsid w:val="58124AA0"/>
    <w:rsid w:val="58221F6C"/>
    <w:rsid w:val="582A16F7"/>
    <w:rsid w:val="582D3B90"/>
    <w:rsid w:val="58317081"/>
    <w:rsid w:val="583717DC"/>
    <w:rsid w:val="583872E1"/>
    <w:rsid w:val="583B4E10"/>
    <w:rsid w:val="58441B46"/>
    <w:rsid w:val="58445FB9"/>
    <w:rsid w:val="584C4C54"/>
    <w:rsid w:val="584E5154"/>
    <w:rsid w:val="585C34F3"/>
    <w:rsid w:val="5869097F"/>
    <w:rsid w:val="58734640"/>
    <w:rsid w:val="58742D6F"/>
    <w:rsid w:val="58761664"/>
    <w:rsid w:val="58764CD5"/>
    <w:rsid w:val="58794443"/>
    <w:rsid w:val="587D044E"/>
    <w:rsid w:val="5894765A"/>
    <w:rsid w:val="589D204E"/>
    <w:rsid w:val="58A237D2"/>
    <w:rsid w:val="58A63C32"/>
    <w:rsid w:val="58AA4644"/>
    <w:rsid w:val="58C0220A"/>
    <w:rsid w:val="58C64427"/>
    <w:rsid w:val="58C75949"/>
    <w:rsid w:val="58CA629A"/>
    <w:rsid w:val="58DC31CC"/>
    <w:rsid w:val="58E25116"/>
    <w:rsid w:val="58E46A70"/>
    <w:rsid w:val="58E9137D"/>
    <w:rsid w:val="58F74CC2"/>
    <w:rsid w:val="58FC088A"/>
    <w:rsid w:val="58FE0ECD"/>
    <w:rsid w:val="5902697F"/>
    <w:rsid w:val="59047F04"/>
    <w:rsid w:val="590B159C"/>
    <w:rsid w:val="591402CC"/>
    <w:rsid w:val="591F4EB3"/>
    <w:rsid w:val="59386001"/>
    <w:rsid w:val="593C3576"/>
    <w:rsid w:val="59591288"/>
    <w:rsid w:val="59597630"/>
    <w:rsid w:val="595F3710"/>
    <w:rsid w:val="59617408"/>
    <w:rsid w:val="59624354"/>
    <w:rsid w:val="59667FAD"/>
    <w:rsid w:val="596D794A"/>
    <w:rsid w:val="59755E30"/>
    <w:rsid w:val="59815980"/>
    <w:rsid w:val="59997E98"/>
    <w:rsid w:val="599B1D9C"/>
    <w:rsid w:val="599C733E"/>
    <w:rsid w:val="59A05D72"/>
    <w:rsid w:val="59A20AE8"/>
    <w:rsid w:val="59A45A84"/>
    <w:rsid w:val="59AF17AF"/>
    <w:rsid w:val="59B609EB"/>
    <w:rsid w:val="59C247A3"/>
    <w:rsid w:val="59C432AB"/>
    <w:rsid w:val="59C6289D"/>
    <w:rsid w:val="59C9369D"/>
    <w:rsid w:val="59D035F5"/>
    <w:rsid w:val="59D85AEC"/>
    <w:rsid w:val="59E07FE6"/>
    <w:rsid w:val="59EE30F9"/>
    <w:rsid w:val="59F927B6"/>
    <w:rsid w:val="59FE2CFC"/>
    <w:rsid w:val="5A0125F2"/>
    <w:rsid w:val="5A08574C"/>
    <w:rsid w:val="5A0C0166"/>
    <w:rsid w:val="5A0E035A"/>
    <w:rsid w:val="5A0F4F69"/>
    <w:rsid w:val="5A10162D"/>
    <w:rsid w:val="5A117F9D"/>
    <w:rsid w:val="5A1F0B1F"/>
    <w:rsid w:val="5A226960"/>
    <w:rsid w:val="5A2C103A"/>
    <w:rsid w:val="5A3C79C9"/>
    <w:rsid w:val="5A495CC1"/>
    <w:rsid w:val="5A4F6D4B"/>
    <w:rsid w:val="5A5D0F5E"/>
    <w:rsid w:val="5A71144E"/>
    <w:rsid w:val="5A7D28AE"/>
    <w:rsid w:val="5A83029A"/>
    <w:rsid w:val="5A872243"/>
    <w:rsid w:val="5A894AE2"/>
    <w:rsid w:val="5A8B10BA"/>
    <w:rsid w:val="5A8D0101"/>
    <w:rsid w:val="5A982707"/>
    <w:rsid w:val="5AA1550B"/>
    <w:rsid w:val="5AA45C8C"/>
    <w:rsid w:val="5AA92FA6"/>
    <w:rsid w:val="5AAB667E"/>
    <w:rsid w:val="5AB27D32"/>
    <w:rsid w:val="5AB526B7"/>
    <w:rsid w:val="5AB67EFE"/>
    <w:rsid w:val="5ABB504A"/>
    <w:rsid w:val="5ABB6005"/>
    <w:rsid w:val="5ABC33FE"/>
    <w:rsid w:val="5ABD5C2F"/>
    <w:rsid w:val="5ABF2FD1"/>
    <w:rsid w:val="5AC81F84"/>
    <w:rsid w:val="5ACA659C"/>
    <w:rsid w:val="5AD727CD"/>
    <w:rsid w:val="5AD734AA"/>
    <w:rsid w:val="5ADE3E39"/>
    <w:rsid w:val="5ADF56AC"/>
    <w:rsid w:val="5AE47F6A"/>
    <w:rsid w:val="5AF07467"/>
    <w:rsid w:val="5AF40110"/>
    <w:rsid w:val="5AFD0679"/>
    <w:rsid w:val="5AFF16FA"/>
    <w:rsid w:val="5B061036"/>
    <w:rsid w:val="5B0700D2"/>
    <w:rsid w:val="5B07352D"/>
    <w:rsid w:val="5B08280F"/>
    <w:rsid w:val="5B0C77B3"/>
    <w:rsid w:val="5B244E82"/>
    <w:rsid w:val="5B2E4ADA"/>
    <w:rsid w:val="5B2F0EE1"/>
    <w:rsid w:val="5B344E71"/>
    <w:rsid w:val="5B39027A"/>
    <w:rsid w:val="5B420517"/>
    <w:rsid w:val="5B4E2621"/>
    <w:rsid w:val="5B557D12"/>
    <w:rsid w:val="5B57745D"/>
    <w:rsid w:val="5B5E19F3"/>
    <w:rsid w:val="5B5E3153"/>
    <w:rsid w:val="5B602147"/>
    <w:rsid w:val="5B6556BC"/>
    <w:rsid w:val="5B702B15"/>
    <w:rsid w:val="5B850D3D"/>
    <w:rsid w:val="5B896EE6"/>
    <w:rsid w:val="5BB2096E"/>
    <w:rsid w:val="5BBD2341"/>
    <w:rsid w:val="5BC30576"/>
    <w:rsid w:val="5BC9247D"/>
    <w:rsid w:val="5BCA52E1"/>
    <w:rsid w:val="5BCA6BF9"/>
    <w:rsid w:val="5BCB30D6"/>
    <w:rsid w:val="5BCC262A"/>
    <w:rsid w:val="5BCF7C4C"/>
    <w:rsid w:val="5BD162D0"/>
    <w:rsid w:val="5BD353F3"/>
    <w:rsid w:val="5BD83F6F"/>
    <w:rsid w:val="5BD90545"/>
    <w:rsid w:val="5BDC65B2"/>
    <w:rsid w:val="5BF300FE"/>
    <w:rsid w:val="5BF4272D"/>
    <w:rsid w:val="5BFF6B85"/>
    <w:rsid w:val="5C041028"/>
    <w:rsid w:val="5C216C6E"/>
    <w:rsid w:val="5C31337F"/>
    <w:rsid w:val="5C3D3184"/>
    <w:rsid w:val="5C44462E"/>
    <w:rsid w:val="5C4C04E4"/>
    <w:rsid w:val="5C524A6A"/>
    <w:rsid w:val="5C60232E"/>
    <w:rsid w:val="5C644A64"/>
    <w:rsid w:val="5C777282"/>
    <w:rsid w:val="5C8067BF"/>
    <w:rsid w:val="5C9E42B4"/>
    <w:rsid w:val="5CA13C0C"/>
    <w:rsid w:val="5CA67F64"/>
    <w:rsid w:val="5CAC21B9"/>
    <w:rsid w:val="5CB04DAC"/>
    <w:rsid w:val="5CB87FE7"/>
    <w:rsid w:val="5CC43FE1"/>
    <w:rsid w:val="5CC622A6"/>
    <w:rsid w:val="5CCB62CC"/>
    <w:rsid w:val="5CCC5134"/>
    <w:rsid w:val="5CD23E86"/>
    <w:rsid w:val="5CDE6268"/>
    <w:rsid w:val="5CE43E05"/>
    <w:rsid w:val="5CE97366"/>
    <w:rsid w:val="5CF055F8"/>
    <w:rsid w:val="5CF755DF"/>
    <w:rsid w:val="5CFE50B1"/>
    <w:rsid w:val="5D004127"/>
    <w:rsid w:val="5D006FD1"/>
    <w:rsid w:val="5D075AC5"/>
    <w:rsid w:val="5D0843EA"/>
    <w:rsid w:val="5D102FA6"/>
    <w:rsid w:val="5D1F5920"/>
    <w:rsid w:val="5D231D9A"/>
    <w:rsid w:val="5D2D1496"/>
    <w:rsid w:val="5D352B62"/>
    <w:rsid w:val="5D377301"/>
    <w:rsid w:val="5D3E5B24"/>
    <w:rsid w:val="5D415E30"/>
    <w:rsid w:val="5D456C97"/>
    <w:rsid w:val="5D516677"/>
    <w:rsid w:val="5D632826"/>
    <w:rsid w:val="5D681684"/>
    <w:rsid w:val="5D6A2EBF"/>
    <w:rsid w:val="5D6A2ED9"/>
    <w:rsid w:val="5D7923A6"/>
    <w:rsid w:val="5D8105AD"/>
    <w:rsid w:val="5D9349C9"/>
    <w:rsid w:val="5D976058"/>
    <w:rsid w:val="5DB3583E"/>
    <w:rsid w:val="5DB52040"/>
    <w:rsid w:val="5DC124D4"/>
    <w:rsid w:val="5DC772AA"/>
    <w:rsid w:val="5DC8264B"/>
    <w:rsid w:val="5DDA7010"/>
    <w:rsid w:val="5DE559EE"/>
    <w:rsid w:val="5DF17991"/>
    <w:rsid w:val="5DF9201B"/>
    <w:rsid w:val="5E075206"/>
    <w:rsid w:val="5E0A2F0D"/>
    <w:rsid w:val="5E0B35DE"/>
    <w:rsid w:val="5E1437D0"/>
    <w:rsid w:val="5E14653D"/>
    <w:rsid w:val="5E160822"/>
    <w:rsid w:val="5E20779F"/>
    <w:rsid w:val="5E2D55C8"/>
    <w:rsid w:val="5E625E62"/>
    <w:rsid w:val="5E690B71"/>
    <w:rsid w:val="5E6F4519"/>
    <w:rsid w:val="5E763004"/>
    <w:rsid w:val="5E7C35F5"/>
    <w:rsid w:val="5E8C5E79"/>
    <w:rsid w:val="5E8C5F1E"/>
    <w:rsid w:val="5E9C2765"/>
    <w:rsid w:val="5EA8285C"/>
    <w:rsid w:val="5EA96225"/>
    <w:rsid w:val="5ED20AB4"/>
    <w:rsid w:val="5ED65B46"/>
    <w:rsid w:val="5ED86346"/>
    <w:rsid w:val="5EDC22A2"/>
    <w:rsid w:val="5EDC6884"/>
    <w:rsid w:val="5EE1626B"/>
    <w:rsid w:val="5EE55EDD"/>
    <w:rsid w:val="5EE70AB2"/>
    <w:rsid w:val="5EEF5AD0"/>
    <w:rsid w:val="5EFA7740"/>
    <w:rsid w:val="5F063F71"/>
    <w:rsid w:val="5F161A25"/>
    <w:rsid w:val="5F1B5D23"/>
    <w:rsid w:val="5F26257D"/>
    <w:rsid w:val="5F2F0ABE"/>
    <w:rsid w:val="5F34559F"/>
    <w:rsid w:val="5F417B0C"/>
    <w:rsid w:val="5F45527F"/>
    <w:rsid w:val="5F523E0A"/>
    <w:rsid w:val="5F540844"/>
    <w:rsid w:val="5F606044"/>
    <w:rsid w:val="5F660499"/>
    <w:rsid w:val="5F6C438A"/>
    <w:rsid w:val="5F791E17"/>
    <w:rsid w:val="5F7E710C"/>
    <w:rsid w:val="5F830C51"/>
    <w:rsid w:val="5F9444F5"/>
    <w:rsid w:val="5F9A3440"/>
    <w:rsid w:val="5F9E7B9F"/>
    <w:rsid w:val="5FA304AE"/>
    <w:rsid w:val="5FC20EEB"/>
    <w:rsid w:val="5FD80E82"/>
    <w:rsid w:val="5FEB1621"/>
    <w:rsid w:val="5FF544A0"/>
    <w:rsid w:val="5FFB31A7"/>
    <w:rsid w:val="5FFE1066"/>
    <w:rsid w:val="6018422D"/>
    <w:rsid w:val="601843C6"/>
    <w:rsid w:val="60232265"/>
    <w:rsid w:val="60244CD0"/>
    <w:rsid w:val="602B11A5"/>
    <w:rsid w:val="602F1F28"/>
    <w:rsid w:val="602F6363"/>
    <w:rsid w:val="603533CC"/>
    <w:rsid w:val="603B5030"/>
    <w:rsid w:val="604D143A"/>
    <w:rsid w:val="604F2F21"/>
    <w:rsid w:val="605460FB"/>
    <w:rsid w:val="60562E45"/>
    <w:rsid w:val="607156AB"/>
    <w:rsid w:val="607621DB"/>
    <w:rsid w:val="608D3D0D"/>
    <w:rsid w:val="60951425"/>
    <w:rsid w:val="609A7AA4"/>
    <w:rsid w:val="60AE1410"/>
    <w:rsid w:val="60AE6F24"/>
    <w:rsid w:val="60BB3F1B"/>
    <w:rsid w:val="60BF7593"/>
    <w:rsid w:val="60CC6D48"/>
    <w:rsid w:val="60CF0CC3"/>
    <w:rsid w:val="60D131AA"/>
    <w:rsid w:val="60DC1619"/>
    <w:rsid w:val="60DE0894"/>
    <w:rsid w:val="60E93468"/>
    <w:rsid w:val="60ED4578"/>
    <w:rsid w:val="60EE46E5"/>
    <w:rsid w:val="60EF476C"/>
    <w:rsid w:val="60F13977"/>
    <w:rsid w:val="60F63C64"/>
    <w:rsid w:val="60F66D97"/>
    <w:rsid w:val="6105572C"/>
    <w:rsid w:val="61060277"/>
    <w:rsid w:val="61074E74"/>
    <w:rsid w:val="61105000"/>
    <w:rsid w:val="611B3F85"/>
    <w:rsid w:val="611D0AE9"/>
    <w:rsid w:val="612436CD"/>
    <w:rsid w:val="61265464"/>
    <w:rsid w:val="612B6AF5"/>
    <w:rsid w:val="61391DA4"/>
    <w:rsid w:val="613D288C"/>
    <w:rsid w:val="6140239F"/>
    <w:rsid w:val="6146732D"/>
    <w:rsid w:val="6148651B"/>
    <w:rsid w:val="614A6D9C"/>
    <w:rsid w:val="614A737D"/>
    <w:rsid w:val="61570017"/>
    <w:rsid w:val="616066F6"/>
    <w:rsid w:val="61657EBE"/>
    <w:rsid w:val="616A5424"/>
    <w:rsid w:val="61741689"/>
    <w:rsid w:val="61836C73"/>
    <w:rsid w:val="619E58F5"/>
    <w:rsid w:val="61A21702"/>
    <w:rsid w:val="61A97927"/>
    <w:rsid w:val="61B60492"/>
    <w:rsid w:val="61BF1A0F"/>
    <w:rsid w:val="61C21CEF"/>
    <w:rsid w:val="61C32BF0"/>
    <w:rsid w:val="61C45B95"/>
    <w:rsid w:val="61C63005"/>
    <w:rsid w:val="61C85032"/>
    <w:rsid w:val="61D33A12"/>
    <w:rsid w:val="61D51D6C"/>
    <w:rsid w:val="61D979D2"/>
    <w:rsid w:val="61EA55B3"/>
    <w:rsid w:val="61EA6C9C"/>
    <w:rsid w:val="61F051F2"/>
    <w:rsid w:val="61F17187"/>
    <w:rsid w:val="61FB3174"/>
    <w:rsid w:val="61FC07D9"/>
    <w:rsid w:val="620A31FB"/>
    <w:rsid w:val="620A3DF3"/>
    <w:rsid w:val="62312730"/>
    <w:rsid w:val="623230F9"/>
    <w:rsid w:val="62394AB4"/>
    <w:rsid w:val="624A2023"/>
    <w:rsid w:val="625054AC"/>
    <w:rsid w:val="62574AFA"/>
    <w:rsid w:val="625E4FD1"/>
    <w:rsid w:val="62721A7E"/>
    <w:rsid w:val="6288581D"/>
    <w:rsid w:val="628B62FF"/>
    <w:rsid w:val="62922320"/>
    <w:rsid w:val="6296049A"/>
    <w:rsid w:val="6298283D"/>
    <w:rsid w:val="62997549"/>
    <w:rsid w:val="62A36039"/>
    <w:rsid w:val="62A67A1B"/>
    <w:rsid w:val="62AD0E33"/>
    <w:rsid w:val="62BA6AF8"/>
    <w:rsid w:val="62CF1EEE"/>
    <w:rsid w:val="62E0554A"/>
    <w:rsid w:val="62E5566F"/>
    <w:rsid w:val="62EE10B7"/>
    <w:rsid w:val="62F12EA4"/>
    <w:rsid w:val="62FE3E78"/>
    <w:rsid w:val="63010165"/>
    <w:rsid w:val="630112FA"/>
    <w:rsid w:val="63025E56"/>
    <w:rsid w:val="63027C64"/>
    <w:rsid w:val="63074CCD"/>
    <w:rsid w:val="63076BDC"/>
    <w:rsid w:val="6314453B"/>
    <w:rsid w:val="631966F4"/>
    <w:rsid w:val="633019C2"/>
    <w:rsid w:val="636935C8"/>
    <w:rsid w:val="636B7306"/>
    <w:rsid w:val="6381280B"/>
    <w:rsid w:val="63834D96"/>
    <w:rsid w:val="63A54D08"/>
    <w:rsid w:val="63A6270B"/>
    <w:rsid w:val="63AA769C"/>
    <w:rsid w:val="63AC6DF7"/>
    <w:rsid w:val="63B2650D"/>
    <w:rsid w:val="63C243AD"/>
    <w:rsid w:val="63C56D35"/>
    <w:rsid w:val="63DE1C23"/>
    <w:rsid w:val="63E41883"/>
    <w:rsid w:val="63E61A24"/>
    <w:rsid w:val="63F31580"/>
    <w:rsid w:val="63FF27D8"/>
    <w:rsid w:val="64017A9E"/>
    <w:rsid w:val="64063F7F"/>
    <w:rsid w:val="640811D9"/>
    <w:rsid w:val="64116430"/>
    <w:rsid w:val="64140C69"/>
    <w:rsid w:val="64153E89"/>
    <w:rsid w:val="641F10CB"/>
    <w:rsid w:val="64275A20"/>
    <w:rsid w:val="64354159"/>
    <w:rsid w:val="643F16E1"/>
    <w:rsid w:val="64441998"/>
    <w:rsid w:val="64530BF0"/>
    <w:rsid w:val="645618DF"/>
    <w:rsid w:val="645A77D1"/>
    <w:rsid w:val="645D6E5E"/>
    <w:rsid w:val="646A68C6"/>
    <w:rsid w:val="646F6716"/>
    <w:rsid w:val="64725BA8"/>
    <w:rsid w:val="64741F0D"/>
    <w:rsid w:val="647A4236"/>
    <w:rsid w:val="647F4FED"/>
    <w:rsid w:val="6481000B"/>
    <w:rsid w:val="64840F97"/>
    <w:rsid w:val="64907C30"/>
    <w:rsid w:val="64932CF4"/>
    <w:rsid w:val="64943A82"/>
    <w:rsid w:val="64A9347C"/>
    <w:rsid w:val="64B5775B"/>
    <w:rsid w:val="64BF2088"/>
    <w:rsid w:val="64C71D67"/>
    <w:rsid w:val="64CC6E30"/>
    <w:rsid w:val="64D23AEF"/>
    <w:rsid w:val="64DA3F2E"/>
    <w:rsid w:val="64E12FE3"/>
    <w:rsid w:val="64E60AEE"/>
    <w:rsid w:val="64E6681D"/>
    <w:rsid w:val="64E96285"/>
    <w:rsid w:val="64EB0752"/>
    <w:rsid w:val="64ED4046"/>
    <w:rsid w:val="64EF4A0C"/>
    <w:rsid w:val="650A6C58"/>
    <w:rsid w:val="652278BC"/>
    <w:rsid w:val="652343E0"/>
    <w:rsid w:val="652B0328"/>
    <w:rsid w:val="652E2EEB"/>
    <w:rsid w:val="6541450E"/>
    <w:rsid w:val="654D51BD"/>
    <w:rsid w:val="6551289E"/>
    <w:rsid w:val="65513F43"/>
    <w:rsid w:val="65564A5B"/>
    <w:rsid w:val="655A6159"/>
    <w:rsid w:val="65681305"/>
    <w:rsid w:val="656A3900"/>
    <w:rsid w:val="656A4457"/>
    <w:rsid w:val="656C4465"/>
    <w:rsid w:val="65737369"/>
    <w:rsid w:val="65762253"/>
    <w:rsid w:val="657642FD"/>
    <w:rsid w:val="65793C58"/>
    <w:rsid w:val="6591638F"/>
    <w:rsid w:val="65921395"/>
    <w:rsid w:val="65C0182A"/>
    <w:rsid w:val="65C30B4C"/>
    <w:rsid w:val="65C47B32"/>
    <w:rsid w:val="65C8516B"/>
    <w:rsid w:val="65CC5A68"/>
    <w:rsid w:val="65CF6DD4"/>
    <w:rsid w:val="65D13577"/>
    <w:rsid w:val="65DD4BC1"/>
    <w:rsid w:val="65E862FD"/>
    <w:rsid w:val="65EB6416"/>
    <w:rsid w:val="65F07A8E"/>
    <w:rsid w:val="65FB5B1C"/>
    <w:rsid w:val="66024892"/>
    <w:rsid w:val="66065079"/>
    <w:rsid w:val="660F3A5D"/>
    <w:rsid w:val="661825B0"/>
    <w:rsid w:val="661F77F8"/>
    <w:rsid w:val="66393D88"/>
    <w:rsid w:val="66536CF4"/>
    <w:rsid w:val="6656299A"/>
    <w:rsid w:val="66572522"/>
    <w:rsid w:val="665F1E6F"/>
    <w:rsid w:val="665F36E0"/>
    <w:rsid w:val="666408E6"/>
    <w:rsid w:val="666D78FC"/>
    <w:rsid w:val="66760AE3"/>
    <w:rsid w:val="66776882"/>
    <w:rsid w:val="66804CC6"/>
    <w:rsid w:val="66873C05"/>
    <w:rsid w:val="668B2B3F"/>
    <w:rsid w:val="669059E0"/>
    <w:rsid w:val="66907A7F"/>
    <w:rsid w:val="66947398"/>
    <w:rsid w:val="6695446E"/>
    <w:rsid w:val="66AD514A"/>
    <w:rsid w:val="66BA41AA"/>
    <w:rsid w:val="66D511A8"/>
    <w:rsid w:val="66D6517F"/>
    <w:rsid w:val="66D707AD"/>
    <w:rsid w:val="66D77FD9"/>
    <w:rsid w:val="66DD02DB"/>
    <w:rsid w:val="66E7780F"/>
    <w:rsid w:val="66E833C1"/>
    <w:rsid w:val="66EA21FF"/>
    <w:rsid w:val="67085AFC"/>
    <w:rsid w:val="670F4A15"/>
    <w:rsid w:val="67120059"/>
    <w:rsid w:val="67120266"/>
    <w:rsid w:val="67153B44"/>
    <w:rsid w:val="67172DE6"/>
    <w:rsid w:val="671C1C38"/>
    <w:rsid w:val="671F032B"/>
    <w:rsid w:val="67235E12"/>
    <w:rsid w:val="673F40F9"/>
    <w:rsid w:val="67412B88"/>
    <w:rsid w:val="6745493E"/>
    <w:rsid w:val="674848E8"/>
    <w:rsid w:val="67606D4F"/>
    <w:rsid w:val="67682AA7"/>
    <w:rsid w:val="676D082B"/>
    <w:rsid w:val="676E0963"/>
    <w:rsid w:val="676F1C4C"/>
    <w:rsid w:val="677E7128"/>
    <w:rsid w:val="678031B8"/>
    <w:rsid w:val="678171A0"/>
    <w:rsid w:val="67926492"/>
    <w:rsid w:val="679B2111"/>
    <w:rsid w:val="67AE74D1"/>
    <w:rsid w:val="67BE5974"/>
    <w:rsid w:val="67C1021A"/>
    <w:rsid w:val="67D10321"/>
    <w:rsid w:val="67E80C5D"/>
    <w:rsid w:val="67F222BB"/>
    <w:rsid w:val="67FB6DF9"/>
    <w:rsid w:val="67FD047E"/>
    <w:rsid w:val="67FE43EB"/>
    <w:rsid w:val="680A1CF1"/>
    <w:rsid w:val="680F0786"/>
    <w:rsid w:val="681356D4"/>
    <w:rsid w:val="68147E14"/>
    <w:rsid w:val="682F3426"/>
    <w:rsid w:val="6832313A"/>
    <w:rsid w:val="6835489C"/>
    <w:rsid w:val="683B4F2E"/>
    <w:rsid w:val="683C0054"/>
    <w:rsid w:val="684232A3"/>
    <w:rsid w:val="684326BE"/>
    <w:rsid w:val="68441D09"/>
    <w:rsid w:val="6844538D"/>
    <w:rsid w:val="685829F0"/>
    <w:rsid w:val="685A16FB"/>
    <w:rsid w:val="685E6B9E"/>
    <w:rsid w:val="68650EF6"/>
    <w:rsid w:val="68777712"/>
    <w:rsid w:val="6886403C"/>
    <w:rsid w:val="689209C9"/>
    <w:rsid w:val="689E56E9"/>
    <w:rsid w:val="68A1283F"/>
    <w:rsid w:val="68A16E5E"/>
    <w:rsid w:val="68AD6FD2"/>
    <w:rsid w:val="68AD78F1"/>
    <w:rsid w:val="68BC0A58"/>
    <w:rsid w:val="68BE7E80"/>
    <w:rsid w:val="68BF49D2"/>
    <w:rsid w:val="68CB5492"/>
    <w:rsid w:val="68CD626F"/>
    <w:rsid w:val="68DB00BE"/>
    <w:rsid w:val="68E04969"/>
    <w:rsid w:val="68E535FE"/>
    <w:rsid w:val="68E53DF4"/>
    <w:rsid w:val="68EC73E5"/>
    <w:rsid w:val="69060E07"/>
    <w:rsid w:val="69086C39"/>
    <w:rsid w:val="690C372E"/>
    <w:rsid w:val="690E4D9B"/>
    <w:rsid w:val="690F7317"/>
    <w:rsid w:val="69135263"/>
    <w:rsid w:val="69171715"/>
    <w:rsid w:val="691D33A9"/>
    <w:rsid w:val="692442E7"/>
    <w:rsid w:val="693F5903"/>
    <w:rsid w:val="69467D67"/>
    <w:rsid w:val="69526EEF"/>
    <w:rsid w:val="695434AB"/>
    <w:rsid w:val="69610D3E"/>
    <w:rsid w:val="69660E38"/>
    <w:rsid w:val="696F7B52"/>
    <w:rsid w:val="697B6605"/>
    <w:rsid w:val="69861832"/>
    <w:rsid w:val="69976603"/>
    <w:rsid w:val="69B2252E"/>
    <w:rsid w:val="69BA4FAD"/>
    <w:rsid w:val="69BD6D57"/>
    <w:rsid w:val="69BD7806"/>
    <w:rsid w:val="69C0066A"/>
    <w:rsid w:val="69C65B80"/>
    <w:rsid w:val="69C77186"/>
    <w:rsid w:val="69D66AD7"/>
    <w:rsid w:val="69EC2392"/>
    <w:rsid w:val="69F06569"/>
    <w:rsid w:val="69FD21A0"/>
    <w:rsid w:val="6A051760"/>
    <w:rsid w:val="6A142A65"/>
    <w:rsid w:val="6A153F5A"/>
    <w:rsid w:val="6A181550"/>
    <w:rsid w:val="6A181F36"/>
    <w:rsid w:val="6A1B1C11"/>
    <w:rsid w:val="6A226C24"/>
    <w:rsid w:val="6A273F95"/>
    <w:rsid w:val="6A3362C2"/>
    <w:rsid w:val="6A337EEC"/>
    <w:rsid w:val="6A3B084B"/>
    <w:rsid w:val="6A3F01C1"/>
    <w:rsid w:val="6A492588"/>
    <w:rsid w:val="6A4C302E"/>
    <w:rsid w:val="6A5F3206"/>
    <w:rsid w:val="6A634F1D"/>
    <w:rsid w:val="6A6A095E"/>
    <w:rsid w:val="6A70152F"/>
    <w:rsid w:val="6A883956"/>
    <w:rsid w:val="6A940CAC"/>
    <w:rsid w:val="6A943117"/>
    <w:rsid w:val="6A9A4BBD"/>
    <w:rsid w:val="6A9B3B3F"/>
    <w:rsid w:val="6A9E4642"/>
    <w:rsid w:val="6AA26D4D"/>
    <w:rsid w:val="6AAA08BE"/>
    <w:rsid w:val="6AAA6A26"/>
    <w:rsid w:val="6ABC335C"/>
    <w:rsid w:val="6AC00DE9"/>
    <w:rsid w:val="6AC64AE6"/>
    <w:rsid w:val="6AD14D9E"/>
    <w:rsid w:val="6AD33BBF"/>
    <w:rsid w:val="6ADD6A58"/>
    <w:rsid w:val="6AE251C2"/>
    <w:rsid w:val="6AEA4E3B"/>
    <w:rsid w:val="6AF83BA7"/>
    <w:rsid w:val="6B0A0F5D"/>
    <w:rsid w:val="6B0F0F99"/>
    <w:rsid w:val="6B112F70"/>
    <w:rsid w:val="6B18124F"/>
    <w:rsid w:val="6B2D5F74"/>
    <w:rsid w:val="6B323491"/>
    <w:rsid w:val="6B366850"/>
    <w:rsid w:val="6B3C083D"/>
    <w:rsid w:val="6B3F425F"/>
    <w:rsid w:val="6B410576"/>
    <w:rsid w:val="6B456D4A"/>
    <w:rsid w:val="6B4730CD"/>
    <w:rsid w:val="6B4B327E"/>
    <w:rsid w:val="6B4D0818"/>
    <w:rsid w:val="6B533901"/>
    <w:rsid w:val="6B5E7579"/>
    <w:rsid w:val="6B5E7E96"/>
    <w:rsid w:val="6B6541F9"/>
    <w:rsid w:val="6B654AD6"/>
    <w:rsid w:val="6B7457F5"/>
    <w:rsid w:val="6B86058A"/>
    <w:rsid w:val="6B892E0B"/>
    <w:rsid w:val="6B8C0E35"/>
    <w:rsid w:val="6B9267E5"/>
    <w:rsid w:val="6B967CBA"/>
    <w:rsid w:val="6BA70A60"/>
    <w:rsid w:val="6BB0530C"/>
    <w:rsid w:val="6BB7466E"/>
    <w:rsid w:val="6BC81F2C"/>
    <w:rsid w:val="6BD92728"/>
    <w:rsid w:val="6BDB73CD"/>
    <w:rsid w:val="6BDB74D5"/>
    <w:rsid w:val="6BE71194"/>
    <w:rsid w:val="6BF33B92"/>
    <w:rsid w:val="6BF44C00"/>
    <w:rsid w:val="6BFC1E43"/>
    <w:rsid w:val="6C09169C"/>
    <w:rsid w:val="6C0B3640"/>
    <w:rsid w:val="6C1143ED"/>
    <w:rsid w:val="6C2F0481"/>
    <w:rsid w:val="6C3660C2"/>
    <w:rsid w:val="6C3F5CA1"/>
    <w:rsid w:val="6C4369DA"/>
    <w:rsid w:val="6C48783F"/>
    <w:rsid w:val="6C503831"/>
    <w:rsid w:val="6C527877"/>
    <w:rsid w:val="6C5948B9"/>
    <w:rsid w:val="6C5D14DC"/>
    <w:rsid w:val="6C6261D0"/>
    <w:rsid w:val="6C656F55"/>
    <w:rsid w:val="6C692F39"/>
    <w:rsid w:val="6C6C073A"/>
    <w:rsid w:val="6C7308F0"/>
    <w:rsid w:val="6C77414E"/>
    <w:rsid w:val="6C7D20BD"/>
    <w:rsid w:val="6C892507"/>
    <w:rsid w:val="6C906F5B"/>
    <w:rsid w:val="6CCD2BFD"/>
    <w:rsid w:val="6CDC6FB5"/>
    <w:rsid w:val="6CE519CD"/>
    <w:rsid w:val="6CEC46DD"/>
    <w:rsid w:val="6CFD4031"/>
    <w:rsid w:val="6D046F29"/>
    <w:rsid w:val="6D0B419B"/>
    <w:rsid w:val="6D0B6EA4"/>
    <w:rsid w:val="6D170C2B"/>
    <w:rsid w:val="6D184B77"/>
    <w:rsid w:val="6D1A4A54"/>
    <w:rsid w:val="6D1C61B8"/>
    <w:rsid w:val="6D1F412D"/>
    <w:rsid w:val="6D25292D"/>
    <w:rsid w:val="6D2B1C61"/>
    <w:rsid w:val="6D2D3698"/>
    <w:rsid w:val="6D3E6AF0"/>
    <w:rsid w:val="6D411B19"/>
    <w:rsid w:val="6D425AE1"/>
    <w:rsid w:val="6D4B0433"/>
    <w:rsid w:val="6D4E0B1D"/>
    <w:rsid w:val="6D5567A6"/>
    <w:rsid w:val="6D585529"/>
    <w:rsid w:val="6D66632D"/>
    <w:rsid w:val="6D6B247B"/>
    <w:rsid w:val="6D710F7D"/>
    <w:rsid w:val="6DA1739D"/>
    <w:rsid w:val="6DA94B8D"/>
    <w:rsid w:val="6DB156CA"/>
    <w:rsid w:val="6DB47C85"/>
    <w:rsid w:val="6DCD0758"/>
    <w:rsid w:val="6DD8224C"/>
    <w:rsid w:val="6DDB16E3"/>
    <w:rsid w:val="6DEF13DC"/>
    <w:rsid w:val="6E024BD0"/>
    <w:rsid w:val="6E091A4D"/>
    <w:rsid w:val="6E151934"/>
    <w:rsid w:val="6E177E81"/>
    <w:rsid w:val="6E284F18"/>
    <w:rsid w:val="6E2D041F"/>
    <w:rsid w:val="6E3A21DE"/>
    <w:rsid w:val="6E3B7E13"/>
    <w:rsid w:val="6E455F70"/>
    <w:rsid w:val="6E5D1E31"/>
    <w:rsid w:val="6E684210"/>
    <w:rsid w:val="6E6E216B"/>
    <w:rsid w:val="6E6F6BC3"/>
    <w:rsid w:val="6E7134A5"/>
    <w:rsid w:val="6E776D2B"/>
    <w:rsid w:val="6E7C21E4"/>
    <w:rsid w:val="6E813254"/>
    <w:rsid w:val="6EA15C3E"/>
    <w:rsid w:val="6EAC37C0"/>
    <w:rsid w:val="6EAF16E1"/>
    <w:rsid w:val="6EB4377C"/>
    <w:rsid w:val="6EB44D02"/>
    <w:rsid w:val="6EBF76D1"/>
    <w:rsid w:val="6ECB2A9E"/>
    <w:rsid w:val="6ECB5524"/>
    <w:rsid w:val="6ED121A6"/>
    <w:rsid w:val="6EDA04BF"/>
    <w:rsid w:val="6EDC207B"/>
    <w:rsid w:val="6EF0764E"/>
    <w:rsid w:val="6EFB1974"/>
    <w:rsid w:val="6F011F8E"/>
    <w:rsid w:val="6F0A0F34"/>
    <w:rsid w:val="6F133DD7"/>
    <w:rsid w:val="6F1625F6"/>
    <w:rsid w:val="6F1A78CB"/>
    <w:rsid w:val="6F1E79B5"/>
    <w:rsid w:val="6F2B325B"/>
    <w:rsid w:val="6F2D27F4"/>
    <w:rsid w:val="6F333F3D"/>
    <w:rsid w:val="6F394E36"/>
    <w:rsid w:val="6F3C64A1"/>
    <w:rsid w:val="6F437B9E"/>
    <w:rsid w:val="6F4F7FEB"/>
    <w:rsid w:val="6F5526ED"/>
    <w:rsid w:val="6F5F6719"/>
    <w:rsid w:val="6F677F68"/>
    <w:rsid w:val="6F7631C9"/>
    <w:rsid w:val="6F794875"/>
    <w:rsid w:val="6F7B5B5E"/>
    <w:rsid w:val="6F821A4D"/>
    <w:rsid w:val="6F826982"/>
    <w:rsid w:val="6F853695"/>
    <w:rsid w:val="6F8A13E0"/>
    <w:rsid w:val="6F8D3C9A"/>
    <w:rsid w:val="6F9007DC"/>
    <w:rsid w:val="6FAA6BEE"/>
    <w:rsid w:val="6FAC710B"/>
    <w:rsid w:val="6FAE6F92"/>
    <w:rsid w:val="6FB5295C"/>
    <w:rsid w:val="6FBA2EE7"/>
    <w:rsid w:val="6FBD2254"/>
    <w:rsid w:val="6FC66F70"/>
    <w:rsid w:val="6FF47B9D"/>
    <w:rsid w:val="6FFA0375"/>
    <w:rsid w:val="7000241E"/>
    <w:rsid w:val="70014047"/>
    <w:rsid w:val="700C3A71"/>
    <w:rsid w:val="70163839"/>
    <w:rsid w:val="70226B30"/>
    <w:rsid w:val="704216DD"/>
    <w:rsid w:val="704704AD"/>
    <w:rsid w:val="705678B1"/>
    <w:rsid w:val="706E68A0"/>
    <w:rsid w:val="70837DAA"/>
    <w:rsid w:val="708878D6"/>
    <w:rsid w:val="708950B0"/>
    <w:rsid w:val="708A2468"/>
    <w:rsid w:val="7092122A"/>
    <w:rsid w:val="709771BD"/>
    <w:rsid w:val="70AD7923"/>
    <w:rsid w:val="70B15A3A"/>
    <w:rsid w:val="70B24375"/>
    <w:rsid w:val="70BA1735"/>
    <w:rsid w:val="70C87C37"/>
    <w:rsid w:val="70CB4D63"/>
    <w:rsid w:val="70D04430"/>
    <w:rsid w:val="70DB19C6"/>
    <w:rsid w:val="70DE4C1F"/>
    <w:rsid w:val="70EA1646"/>
    <w:rsid w:val="70F464B1"/>
    <w:rsid w:val="70F4692A"/>
    <w:rsid w:val="70F643ED"/>
    <w:rsid w:val="71091D79"/>
    <w:rsid w:val="71115AC7"/>
    <w:rsid w:val="71126DC7"/>
    <w:rsid w:val="711546A3"/>
    <w:rsid w:val="711713D4"/>
    <w:rsid w:val="7119083E"/>
    <w:rsid w:val="711931FD"/>
    <w:rsid w:val="711B6961"/>
    <w:rsid w:val="711C4EC3"/>
    <w:rsid w:val="711E0AE8"/>
    <w:rsid w:val="712B1254"/>
    <w:rsid w:val="713F4AB5"/>
    <w:rsid w:val="71403642"/>
    <w:rsid w:val="7160645C"/>
    <w:rsid w:val="716B18CF"/>
    <w:rsid w:val="71706E3A"/>
    <w:rsid w:val="71847FBB"/>
    <w:rsid w:val="718A1581"/>
    <w:rsid w:val="71910C3F"/>
    <w:rsid w:val="719A0881"/>
    <w:rsid w:val="71A817E2"/>
    <w:rsid w:val="71AB1F7D"/>
    <w:rsid w:val="71B7090F"/>
    <w:rsid w:val="71B71E6E"/>
    <w:rsid w:val="71C90093"/>
    <w:rsid w:val="71DC7472"/>
    <w:rsid w:val="71E00D1D"/>
    <w:rsid w:val="71E27DF5"/>
    <w:rsid w:val="71EB7B09"/>
    <w:rsid w:val="71FA3BBD"/>
    <w:rsid w:val="71FA7ED4"/>
    <w:rsid w:val="71FC3AE7"/>
    <w:rsid w:val="71FD1B8C"/>
    <w:rsid w:val="71FE25BD"/>
    <w:rsid w:val="72133F43"/>
    <w:rsid w:val="72184663"/>
    <w:rsid w:val="72203711"/>
    <w:rsid w:val="72246703"/>
    <w:rsid w:val="723979F9"/>
    <w:rsid w:val="723B37D7"/>
    <w:rsid w:val="724009A8"/>
    <w:rsid w:val="72444CFD"/>
    <w:rsid w:val="7245714C"/>
    <w:rsid w:val="725B62F8"/>
    <w:rsid w:val="725E095E"/>
    <w:rsid w:val="72603E8F"/>
    <w:rsid w:val="7265110A"/>
    <w:rsid w:val="726571DB"/>
    <w:rsid w:val="72705BA8"/>
    <w:rsid w:val="727B238E"/>
    <w:rsid w:val="72810241"/>
    <w:rsid w:val="72820AB6"/>
    <w:rsid w:val="728E3388"/>
    <w:rsid w:val="728F2B85"/>
    <w:rsid w:val="729041F5"/>
    <w:rsid w:val="72930471"/>
    <w:rsid w:val="729417FE"/>
    <w:rsid w:val="72AA0097"/>
    <w:rsid w:val="72BA494E"/>
    <w:rsid w:val="72CE267D"/>
    <w:rsid w:val="72D971EE"/>
    <w:rsid w:val="72DC05AB"/>
    <w:rsid w:val="72DE0BEA"/>
    <w:rsid w:val="72E83605"/>
    <w:rsid w:val="72F46F94"/>
    <w:rsid w:val="72F77042"/>
    <w:rsid w:val="72FA42A4"/>
    <w:rsid w:val="72FB0E3D"/>
    <w:rsid w:val="730C139C"/>
    <w:rsid w:val="730E4964"/>
    <w:rsid w:val="731160F9"/>
    <w:rsid w:val="73126D86"/>
    <w:rsid w:val="73196B37"/>
    <w:rsid w:val="731B3FBB"/>
    <w:rsid w:val="731D5347"/>
    <w:rsid w:val="731D6336"/>
    <w:rsid w:val="73222649"/>
    <w:rsid w:val="73272B0B"/>
    <w:rsid w:val="732C0300"/>
    <w:rsid w:val="734741B3"/>
    <w:rsid w:val="734E128B"/>
    <w:rsid w:val="7358714D"/>
    <w:rsid w:val="73595FD9"/>
    <w:rsid w:val="735A4DA7"/>
    <w:rsid w:val="73733FB9"/>
    <w:rsid w:val="73785BED"/>
    <w:rsid w:val="737F0BD7"/>
    <w:rsid w:val="738A31FD"/>
    <w:rsid w:val="73A2616F"/>
    <w:rsid w:val="73AE1D35"/>
    <w:rsid w:val="73B579E1"/>
    <w:rsid w:val="73BA266D"/>
    <w:rsid w:val="73C450CE"/>
    <w:rsid w:val="73CF5BB3"/>
    <w:rsid w:val="73D47D0D"/>
    <w:rsid w:val="73DD067A"/>
    <w:rsid w:val="73E06A91"/>
    <w:rsid w:val="73F219E4"/>
    <w:rsid w:val="73F6229F"/>
    <w:rsid w:val="740B6437"/>
    <w:rsid w:val="7427406E"/>
    <w:rsid w:val="7429584B"/>
    <w:rsid w:val="74296811"/>
    <w:rsid w:val="742B009F"/>
    <w:rsid w:val="743A6637"/>
    <w:rsid w:val="743C7034"/>
    <w:rsid w:val="74477FC6"/>
    <w:rsid w:val="744F5587"/>
    <w:rsid w:val="74697005"/>
    <w:rsid w:val="747651AC"/>
    <w:rsid w:val="7480614A"/>
    <w:rsid w:val="74817E47"/>
    <w:rsid w:val="74924BF0"/>
    <w:rsid w:val="74AF1BEF"/>
    <w:rsid w:val="74B33427"/>
    <w:rsid w:val="74B67C86"/>
    <w:rsid w:val="74B93441"/>
    <w:rsid w:val="74B9411C"/>
    <w:rsid w:val="74C3567A"/>
    <w:rsid w:val="74D760BC"/>
    <w:rsid w:val="74E16A0A"/>
    <w:rsid w:val="7500351D"/>
    <w:rsid w:val="750878D6"/>
    <w:rsid w:val="750F0F24"/>
    <w:rsid w:val="750F6139"/>
    <w:rsid w:val="75385F01"/>
    <w:rsid w:val="753C7382"/>
    <w:rsid w:val="755076D4"/>
    <w:rsid w:val="75606C61"/>
    <w:rsid w:val="75787E37"/>
    <w:rsid w:val="757C355D"/>
    <w:rsid w:val="75814AD1"/>
    <w:rsid w:val="75817882"/>
    <w:rsid w:val="75837302"/>
    <w:rsid w:val="758C5CA8"/>
    <w:rsid w:val="758F2DFB"/>
    <w:rsid w:val="75917CFA"/>
    <w:rsid w:val="75955A18"/>
    <w:rsid w:val="75960F34"/>
    <w:rsid w:val="759E3F38"/>
    <w:rsid w:val="75A00DED"/>
    <w:rsid w:val="75A67B83"/>
    <w:rsid w:val="75B15A84"/>
    <w:rsid w:val="75B266CA"/>
    <w:rsid w:val="75BD508A"/>
    <w:rsid w:val="75C2281B"/>
    <w:rsid w:val="75C54552"/>
    <w:rsid w:val="75C834FA"/>
    <w:rsid w:val="75CD5955"/>
    <w:rsid w:val="75DC2530"/>
    <w:rsid w:val="75E24BE0"/>
    <w:rsid w:val="75E27E13"/>
    <w:rsid w:val="75EC615A"/>
    <w:rsid w:val="75F07D29"/>
    <w:rsid w:val="76243114"/>
    <w:rsid w:val="76303675"/>
    <w:rsid w:val="763937F3"/>
    <w:rsid w:val="763A7E6E"/>
    <w:rsid w:val="763C1CCA"/>
    <w:rsid w:val="763C708D"/>
    <w:rsid w:val="763E5199"/>
    <w:rsid w:val="76450F69"/>
    <w:rsid w:val="76596C92"/>
    <w:rsid w:val="76687D76"/>
    <w:rsid w:val="766D07EB"/>
    <w:rsid w:val="76780040"/>
    <w:rsid w:val="768244D4"/>
    <w:rsid w:val="76843AB6"/>
    <w:rsid w:val="76892E14"/>
    <w:rsid w:val="76A25ABD"/>
    <w:rsid w:val="76BC558A"/>
    <w:rsid w:val="76BD2004"/>
    <w:rsid w:val="76CD38E2"/>
    <w:rsid w:val="76CD7FB3"/>
    <w:rsid w:val="76CE29FC"/>
    <w:rsid w:val="76CF2F8D"/>
    <w:rsid w:val="76E229F5"/>
    <w:rsid w:val="770052E9"/>
    <w:rsid w:val="77011F1B"/>
    <w:rsid w:val="77046C07"/>
    <w:rsid w:val="77081AE3"/>
    <w:rsid w:val="77087033"/>
    <w:rsid w:val="77121E99"/>
    <w:rsid w:val="77151366"/>
    <w:rsid w:val="77156170"/>
    <w:rsid w:val="771A3E33"/>
    <w:rsid w:val="772577FF"/>
    <w:rsid w:val="772E2F81"/>
    <w:rsid w:val="77314570"/>
    <w:rsid w:val="77377E52"/>
    <w:rsid w:val="773E5180"/>
    <w:rsid w:val="77416025"/>
    <w:rsid w:val="775949E4"/>
    <w:rsid w:val="775B651C"/>
    <w:rsid w:val="776611F5"/>
    <w:rsid w:val="776A4CED"/>
    <w:rsid w:val="776C7132"/>
    <w:rsid w:val="777020B7"/>
    <w:rsid w:val="77705961"/>
    <w:rsid w:val="77754EC4"/>
    <w:rsid w:val="77765117"/>
    <w:rsid w:val="77962FB7"/>
    <w:rsid w:val="779E1FF3"/>
    <w:rsid w:val="77A21D39"/>
    <w:rsid w:val="77AA3049"/>
    <w:rsid w:val="77AC41D6"/>
    <w:rsid w:val="77B23AFA"/>
    <w:rsid w:val="77B70BE6"/>
    <w:rsid w:val="77B759AE"/>
    <w:rsid w:val="77B95C6D"/>
    <w:rsid w:val="77B96DDB"/>
    <w:rsid w:val="77C447A9"/>
    <w:rsid w:val="77D23C3F"/>
    <w:rsid w:val="77D378E6"/>
    <w:rsid w:val="77DD1F14"/>
    <w:rsid w:val="77FA1CC5"/>
    <w:rsid w:val="77FA7D39"/>
    <w:rsid w:val="780021A8"/>
    <w:rsid w:val="78011CFF"/>
    <w:rsid w:val="781606A2"/>
    <w:rsid w:val="78193A7C"/>
    <w:rsid w:val="78240D8C"/>
    <w:rsid w:val="78260413"/>
    <w:rsid w:val="78281187"/>
    <w:rsid w:val="782A3983"/>
    <w:rsid w:val="783012BE"/>
    <w:rsid w:val="7832538A"/>
    <w:rsid w:val="78350ABB"/>
    <w:rsid w:val="78363EBE"/>
    <w:rsid w:val="78444FB8"/>
    <w:rsid w:val="784456C2"/>
    <w:rsid w:val="785B4540"/>
    <w:rsid w:val="785C64AB"/>
    <w:rsid w:val="786058F3"/>
    <w:rsid w:val="78680417"/>
    <w:rsid w:val="78706A95"/>
    <w:rsid w:val="787B6B56"/>
    <w:rsid w:val="788B4C21"/>
    <w:rsid w:val="78941E89"/>
    <w:rsid w:val="78942705"/>
    <w:rsid w:val="78972D1B"/>
    <w:rsid w:val="78A30285"/>
    <w:rsid w:val="78A740DD"/>
    <w:rsid w:val="78B31020"/>
    <w:rsid w:val="78BC5AFE"/>
    <w:rsid w:val="78C70A03"/>
    <w:rsid w:val="78C93108"/>
    <w:rsid w:val="78CB4B71"/>
    <w:rsid w:val="78CD57A7"/>
    <w:rsid w:val="78D14099"/>
    <w:rsid w:val="78DA4E0B"/>
    <w:rsid w:val="78DF6FA4"/>
    <w:rsid w:val="78F8629A"/>
    <w:rsid w:val="78FE686A"/>
    <w:rsid w:val="79222417"/>
    <w:rsid w:val="792472CF"/>
    <w:rsid w:val="79353B40"/>
    <w:rsid w:val="793B376C"/>
    <w:rsid w:val="795C7A6E"/>
    <w:rsid w:val="79763F92"/>
    <w:rsid w:val="797A3490"/>
    <w:rsid w:val="797C337B"/>
    <w:rsid w:val="79803FAC"/>
    <w:rsid w:val="7984659D"/>
    <w:rsid w:val="79881509"/>
    <w:rsid w:val="7994754F"/>
    <w:rsid w:val="79A04543"/>
    <w:rsid w:val="79A50DB2"/>
    <w:rsid w:val="79A764F5"/>
    <w:rsid w:val="79A820A4"/>
    <w:rsid w:val="79A90FE1"/>
    <w:rsid w:val="79A91AAC"/>
    <w:rsid w:val="79A961B4"/>
    <w:rsid w:val="79AB3F57"/>
    <w:rsid w:val="79B51FDF"/>
    <w:rsid w:val="79B71C5E"/>
    <w:rsid w:val="79CA7762"/>
    <w:rsid w:val="79D21B9B"/>
    <w:rsid w:val="79DC3386"/>
    <w:rsid w:val="79E6443E"/>
    <w:rsid w:val="79E77FAA"/>
    <w:rsid w:val="79EB23CA"/>
    <w:rsid w:val="79F07BFE"/>
    <w:rsid w:val="79F66C33"/>
    <w:rsid w:val="79FE73C0"/>
    <w:rsid w:val="7A0D2346"/>
    <w:rsid w:val="7A137836"/>
    <w:rsid w:val="7A164BBC"/>
    <w:rsid w:val="7A1A0B6F"/>
    <w:rsid w:val="7A22021B"/>
    <w:rsid w:val="7A251C0D"/>
    <w:rsid w:val="7A2B4BC1"/>
    <w:rsid w:val="7A3943C1"/>
    <w:rsid w:val="7A531206"/>
    <w:rsid w:val="7A562AF7"/>
    <w:rsid w:val="7A57157A"/>
    <w:rsid w:val="7A5F5B0B"/>
    <w:rsid w:val="7A625C60"/>
    <w:rsid w:val="7A665B8E"/>
    <w:rsid w:val="7A6C6679"/>
    <w:rsid w:val="7A7F6A52"/>
    <w:rsid w:val="7A891AC4"/>
    <w:rsid w:val="7A9C6C1B"/>
    <w:rsid w:val="7A9D1880"/>
    <w:rsid w:val="7AB569EA"/>
    <w:rsid w:val="7ABA6421"/>
    <w:rsid w:val="7AC10ECB"/>
    <w:rsid w:val="7ACA7841"/>
    <w:rsid w:val="7ACF0DE6"/>
    <w:rsid w:val="7ACF7B8C"/>
    <w:rsid w:val="7AD22205"/>
    <w:rsid w:val="7AD91299"/>
    <w:rsid w:val="7ADC7CFC"/>
    <w:rsid w:val="7ADE3972"/>
    <w:rsid w:val="7ADE515A"/>
    <w:rsid w:val="7AE4704E"/>
    <w:rsid w:val="7AEF31E8"/>
    <w:rsid w:val="7AF94551"/>
    <w:rsid w:val="7AFA47BD"/>
    <w:rsid w:val="7AFC53FE"/>
    <w:rsid w:val="7B014C7C"/>
    <w:rsid w:val="7B0B7B8D"/>
    <w:rsid w:val="7B122979"/>
    <w:rsid w:val="7B193532"/>
    <w:rsid w:val="7B1F1A3F"/>
    <w:rsid w:val="7B24309E"/>
    <w:rsid w:val="7B2D3411"/>
    <w:rsid w:val="7B3868B1"/>
    <w:rsid w:val="7B392044"/>
    <w:rsid w:val="7B3D534D"/>
    <w:rsid w:val="7B415906"/>
    <w:rsid w:val="7B4D27D8"/>
    <w:rsid w:val="7B4F494F"/>
    <w:rsid w:val="7B520DAC"/>
    <w:rsid w:val="7B557A31"/>
    <w:rsid w:val="7B5A1726"/>
    <w:rsid w:val="7B5A625D"/>
    <w:rsid w:val="7B5F60E8"/>
    <w:rsid w:val="7B623BA7"/>
    <w:rsid w:val="7B6263C6"/>
    <w:rsid w:val="7B6F7EAB"/>
    <w:rsid w:val="7B761DB9"/>
    <w:rsid w:val="7B7649B2"/>
    <w:rsid w:val="7B776F98"/>
    <w:rsid w:val="7B7B536C"/>
    <w:rsid w:val="7B806EFF"/>
    <w:rsid w:val="7B9C4E82"/>
    <w:rsid w:val="7BA76DBE"/>
    <w:rsid w:val="7BC02F16"/>
    <w:rsid w:val="7BC11D75"/>
    <w:rsid w:val="7BCB153B"/>
    <w:rsid w:val="7BCD3910"/>
    <w:rsid w:val="7BD763E2"/>
    <w:rsid w:val="7BE053E5"/>
    <w:rsid w:val="7BEA67EF"/>
    <w:rsid w:val="7BF94148"/>
    <w:rsid w:val="7C020537"/>
    <w:rsid w:val="7C027D24"/>
    <w:rsid w:val="7C0965E0"/>
    <w:rsid w:val="7C0F5514"/>
    <w:rsid w:val="7C153B15"/>
    <w:rsid w:val="7C1A0745"/>
    <w:rsid w:val="7C2F076B"/>
    <w:rsid w:val="7C35107C"/>
    <w:rsid w:val="7C4527F2"/>
    <w:rsid w:val="7C4B35B7"/>
    <w:rsid w:val="7C517C52"/>
    <w:rsid w:val="7C5A5117"/>
    <w:rsid w:val="7C6E038D"/>
    <w:rsid w:val="7C702088"/>
    <w:rsid w:val="7C77394C"/>
    <w:rsid w:val="7C7B77EC"/>
    <w:rsid w:val="7C7C158E"/>
    <w:rsid w:val="7C7D018F"/>
    <w:rsid w:val="7C87033C"/>
    <w:rsid w:val="7C8F2A8C"/>
    <w:rsid w:val="7C911FCE"/>
    <w:rsid w:val="7C9734A5"/>
    <w:rsid w:val="7C9C2A4E"/>
    <w:rsid w:val="7CAF1402"/>
    <w:rsid w:val="7CB651CE"/>
    <w:rsid w:val="7CDD6E3E"/>
    <w:rsid w:val="7CE03B4B"/>
    <w:rsid w:val="7CEC4E05"/>
    <w:rsid w:val="7CEF2A75"/>
    <w:rsid w:val="7CF26DE3"/>
    <w:rsid w:val="7CF44366"/>
    <w:rsid w:val="7CF72EAD"/>
    <w:rsid w:val="7CFB24D5"/>
    <w:rsid w:val="7D0E1728"/>
    <w:rsid w:val="7D0E3821"/>
    <w:rsid w:val="7D14067C"/>
    <w:rsid w:val="7D140ECD"/>
    <w:rsid w:val="7D154377"/>
    <w:rsid w:val="7D1F4B75"/>
    <w:rsid w:val="7D214F5B"/>
    <w:rsid w:val="7D233322"/>
    <w:rsid w:val="7D2470A5"/>
    <w:rsid w:val="7D2C24AB"/>
    <w:rsid w:val="7D327C8B"/>
    <w:rsid w:val="7D377FD2"/>
    <w:rsid w:val="7D3C5984"/>
    <w:rsid w:val="7D4072C8"/>
    <w:rsid w:val="7D473C30"/>
    <w:rsid w:val="7D55684D"/>
    <w:rsid w:val="7D557908"/>
    <w:rsid w:val="7D567F60"/>
    <w:rsid w:val="7D6A2078"/>
    <w:rsid w:val="7D6B1617"/>
    <w:rsid w:val="7D6E2749"/>
    <w:rsid w:val="7D6E4130"/>
    <w:rsid w:val="7D704F78"/>
    <w:rsid w:val="7D755CFB"/>
    <w:rsid w:val="7D8234B8"/>
    <w:rsid w:val="7D872ACD"/>
    <w:rsid w:val="7D880C0C"/>
    <w:rsid w:val="7D93217F"/>
    <w:rsid w:val="7D947FDF"/>
    <w:rsid w:val="7D9B2F30"/>
    <w:rsid w:val="7DA07975"/>
    <w:rsid w:val="7DB578DA"/>
    <w:rsid w:val="7DBB0CDD"/>
    <w:rsid w:val="7DBE5CFA"/>
    <w:rsid w:val="7DE47022"/>
    <w:rsid w:val="7DE51FCB"/>
    <w:rsid w:val="7DE97F07"/>
    <w:rsid w:val="7DEF4478"/>
    <w:rsid w:val="7DF23171"/>
    <w:rsid w:val="7E030F25"/>
    <w:rsid w:val="7E076C02"/>
    <w:rsid w:val="7E09451B"/>
    <w:rsid w:val="7E0D6E4F"/>
    <w:rsid w:val="7E1010DA"/>
    <w:rsid w:val="7E144395"/>
    <w:rsid w:val="7E2C61DE"/>
    <w:rsid w:val="7E2D11F7"/>
    <w:rsid w:val="7E4D111B"/>
    <w:rsid w:val="7E4F1DB5"/>
    <w:rsid w:val="7E5357B6"/>
    <w:rsid w:val="7E5A496A"/>
    <w:rsid w:val="7E701790"/>
    <w:rsid w:val="7E761A26"/>
    <w:rsid w:val="7E855165"/>
    <w:rsid w:val="7E8D19E3"/>
    <w:rsid w:val="7E95545A"/>
    <w:rsid w:val="7E967419"/>
    <w:rsid w:val="7E9A5C3D"/>
    <w:rsid w:val="7EC762BE"/>
    <w:rsid w:val="7ED14E08"/>
    <w:rsid w:val="7ED634B5"/>
    <w:rsid w:val="7EDF6285"/>
    <w:rsid w:val="7EF810EC"/>
    <w:rsid w:val="7EFB23F2"/>
    <w:rsid w:val="7F062D6F"/>
    <w:rsid w:val="7F123C9E"/>
    <w:rsid w:val="7F1A510A"/>
    <w:rsid w:val="7F1D1E42"/>
    <w:rsid w:val="7F1D4D57"/>
    <w:rsid w:val="7F2176CC"/>
    <w:rsid w:val="7F252EA5"/>
    <w:rsid w:val="7F290F5A"/>
    <w:rsid w:val="7F2C66FA"/>
    <w:rsid w:val="7F350674"/>
    <w:rsid w:val="7F38651E"/>
    <w:rsid w:val="7F4B1FC4"/>
    <w:rsid w:val="7F517ED5"/>
    <w:rsid w:val="7F540EDC"/>
    <w:rsid w:val="7F6F66E8"/>
    <w:rsid w:val="7F706082"/>
    <w:rsid w:val="7F7C2201"/>
    <w:rsid w:val="7F7E168D"/>
    <w:rsid w:val="7F7F7438"/>
    <w:rsid w:val="7F833AE7"/>
    <w:rsid w:val="7F953DBE"/>
    <w:rsid w:val="7F962FB9"/>
    <w:rsid w:val="7F986A0B"/>
    <w:rsid w:val="7F9F4562"/>
    <w:rsid w:val="7F9F6508"/>
    <w:rsid w:val="7FA26886"/>
    <w:rsid w:val="7FA57934"/>
    <w:rsid w:val="7FA74A78"/>
    <w:rsid w:val="7FB47E58"/>
    <w:rsid w:val="7FB60B24"/>
    <w:rsid w:val="7FBA5E6A"/>
    <w:rsid w:val="7FC956F0"/>
    <w:rsid w:val="7FD54905"/>
    <w:rsid w:val="7FE1389C"/>
    <w:rsid w:val="7FF22741"/>
    <w:rsid w:val="7FF46A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Body Text"/>
    <w:basedOn w:val="1"/>
    <w:qFormat/>
    <w:uiPriority w:val="1"/>
    <w:pPr>
      <w:spacing w:before="1"/>
      <w:ind w:left="100" w:right="229"/>
    </w:pPr>
    <w:rPr>
      <w:rFonts w:ascii="宋体" w:hAnsi="宋体" w:eastAsia="宋体" w:cs="宋体"/>
      <w:sz w:val="24"/>
      <w:szCs w:val="24"/>
      <w:lang w:val="zh-CN" w:eastAsia="zh-CN" w:bidi="zh-CN"/>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Body Text First Indent 2"/>
    <w:qFormat/>
    <w:uiPriority w:val="0"/>
    <w:pPr>
      <w:spacing w:after="120" w:line="300" w:lineRule="auto"/>
      <w:ind w:left="420" w:leftChars="200" w:firstLine="420" w:firstLineChars="200"/>
      <w:jc w:val="both"/>
    </w:pPr>
    <w:rPr>
      <w:rFonts w:ascii="Times New Roman" w:hAnsi="Times New Roman" w:eastAsia="宋体" w:cs="Times New Roman"/>
      <w:sz w:val="21"/>
      <w:szCs w:val="21"/>
      <w:lang w:val="en-US" w:eastAsia="zh-CN" w:bidi="ar-SA"/>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017讲义考情分析正文"/>
    <w:basedOn w:val="1"/>
    <w:qFormat/>
    <w:uiPriority w:val="0"/>
    <w:pPr>
      <w:ind w:firstLine="200"/>
      <w:textAlignment w:val="center"/>
    </w:pPr>
    <w:rPr>
      <w:rFonts w:eastAsia="方正楷体简体"/>
      <w:szCs w:val="20"/>
    </w:rPr>
  </w:style>
  <w:style w:type="paragraph" w:customStyle="1" w:styleId="11">
    <w:name w:val="列表段落1"/>
    <w:basedOn w:val="1"/>
    <w:qFormat/>
    <w:uiPriority w:val="99"/>
    <w:pPr>
      <w:ind w:left="480" w:leftChars="200"/>
    </w:pPr>
  </w:style>
  <w:style w:type="paragraph" w:customStyle="1" w:styleId="12">
    <w:name w:val="017讲义题目、选项、请开始答题"/>
    <w:qFormat/>
    <w:uiPriority w:val="0"/>
    <w:pPr>
      <w:adjustRightInd w:val="0"/>
      <w:snapToGrid w:val="0"/>
      <w:spacing w:line="300" w:lineRule="auto"/>
      <w:ind w:firstLine="200" w:firstLineChars="200"/>
      <w:jc w:val="both"/>
      <w:textAlignment w:val="center"/>
    </w:pPr>
    <w:rPr>
      <w:rFonts w:ascii="Times New Roman" w:hAnsi="Times New Roman" w:eastAsia="方正书宋简体" w:cs="Times New Roman"/>
      <w:sz w:val="21"/>
      <w:szCs w:val="21"/>
      <w:lang w:val="en-US" w:eastAsia="zh-CN" w:bidi="ar-SA"/>
    </w:rPr>
  </w:style>
  <w:style w:type="paragraph" w:customStyle="1" w:styleId="13">
    <w:name w:val="Body text|1"/>
    <w:basedOn w:val="1"/>
    <w:qFormat/>
    <w:uiPriority w:val="0"/>
    <w:pPr>
      <w:widowControl w:val="0"/>
      <w:shd w:val="clear" w:color="auto" w:fill="auto"/>
      <w:spacing w:line="312" w:lineRule="auto"/>
    </w:pPr>
    <w:rPr>
      <w:rFonts w:ascii="宋体" w:hAnsi="宋体" w:eastAsia="宋体" w:cs="宋体"/>
      <w:sz w:val="22"/>
      <w:szCs w:val="22"/>
      <w:u w:val="none"/>
      <w:shd w:val="clear" w:color="auto" w:fill="auto"/>
      <w:lang w:val="zh-TW" w:eastAsia="zh-TW" w:bidi="zh-TW"/>
    </w:rPr>
  </w:style>
  <w:style w:type="paragraph" w:styleId="14">
    <w:name w:val="List Paragraph"/>
    <w:basedOn w:val="1"/>
    <w:unhideWhenUsed/>
    <w:qFormat/>
    <w:uiPriority w:val="34"/>
    <w:pPr>
      <w:ind w:firstLine="420" w:firstLineChars="200"/>
    </w:pPr>
    <w:rPr>
      <w:rFonts w:ascii="Times New Roman" w:hAnsi="Times New Roman"/>
      <w:szCs w:val="24"/>
    </w:rPr>
  </w:style>
  <w:style w:type="paragraph" w:customStyle="1" w:styleId="15">
    <w:name w:val="017讲义5级标题 （一）"/>
    <w:qFormat/>
    <w:uiPriority w:val="0"/>
    <w:pPr>
      <w:keepNext/>
      <w:keepLines/>
      <w:spacing w:before="20" w:beforeLines="20" w:after="20" w:afterLines="20"/>
      <w:ind w:firstLine="200" w:firstLineChars="200"/>
      <w:textAlignment w:val="center"/>
      <w:outlineLvl w:val="4"/>
    </w:pPr>
    <w:rPr>
      <w:rFonts w:ascii="Times New Roman" w:hAnsi="Times New Roman" w:eastAsia="方正小标宋简体" w:cs="Times New Roman"/>
      <w:b/>
      <w:bCs/>
      <w:sz w:val="23"/>
      <w:szCs w:val="23"/>
      <w:lang w:val="en-US" w:eastAsia="zh-CN" w:bidi="ar-SA"/>
    </w:rPr>
  </w:style>
  <w:style w:type="paragraph" w:customStyle="1" w:styleId="16">
    <w:name w:val="JGJY-题型说明"/>
    <w:next w:val="1"/>
    <w:qFormat/>
    <w:uiPriority w:val="0"/>
    <w:pPr>
      <w:adjustRightInd w:val="0"/>
      <w:snapToGrid w:val="0"/>
      <w:spacing w:before="100" w:beforeLines="100" w:line="300" w:lineRule="auto"/>
      <w:ind w:firstLine="200" w:firstLineChars="200"/>
      <w:jc w:val="both"/>
      <w:outlineLvl w:val="1"/>
    </w:pPr>
    <w:rPr>
      <w:rFonts w:ascii="Times New Roman" w:hAnsi="Times New Roman" w:eastAsia="方正书宋简体" w:cs="Times New Roman"/>
      <w:b/>
      <w:sz w:val="21"/>
      <w:szCs w:val="21"/>
      <w:lang w:val="en-US" w:eastAsia="zh-CN" w:bidi="ar-SA"/>
    </w:rPr>
  </w:style>
  <w:style w:type="paragraph" w:customStyle="1" w:styleId="17">
    <w:name w:val="017讲义表内标题"/>
    <w:qFormat/>
    <w:uiPriority w:val="0"/>
    <w:pPr>
      <w:jc w:val="center"/>
      <w:textAlignment w:val="center"/>
    </w:pPr>
    <w:rPr>
      <w:rFonts w:ascii="Times New Roman" w:hAnsi="Times New Roman" w:eastAsia="方正楷体简体" w:cs="Times New Roman"/>
      <w:b/>
      <w:kern w:val="2"/>
      <w:sz w:val="18"/>
      <w:szCs w:val="18"/>
      <w:lang w:val="en-US" w:eastAsia="zh-CN" w:bidi="ar-SA"/>
    </w:rPr>
  </w:style>
  <w:style w:type="paragraph" w:customStyle="1" w:styleId="18">
    <w:name w:val="Table Paragraph"/>
    <w:basedOn w:val="1"/>
    <w:qFormat/>
    <w:uiPriority w:val="1"/>
    <w:pPr>
      <w:spacing w:before="21"/>
      <w:ind w:left="107"/>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1"/>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2022-06-06T06:39:00Z</dcterms:created>
  <dc:creator>咻兮</dc:creator>
  <cp:lastModifiedBy>咻兮</cp:lastModifiedBy>
  <dcterms:modified xsi:type="dcterms:W3CDTF">2023-05-30T02:36:04Z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